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ALLEGATO</w:t>
      </w:r>
      <w:r>
        <w:rPr>
          <w:spacing w:val="-4"/>
        </w:rPr>
        <w:t> </w:t>
      </w:r>
      <w:r>
        <w:rPr/>
        <w:t>ALLA</w:t>
      </w:r>
      <w:r>
        <w:rPr>
          <w:spacing w:val="-3"/>
        </w:rPr>
        <w:t> </w:t>
      </w:r>
      <w:r>
        <w:rPr/>
        <w:t>CIRCOLARE</w:t>
      </w:r>
      <w:r>
        <w:rPr>
          <w:spacing w:val="-3"/>
        </w:rPr>
        <w:t> </w:t>
      </w:r>
      <w:r>
        <w:rPr/>
        <w:t>PRESA</w:t>
      </w:r>
      <w:r>
        <w:rPr>
          <w:spacing w:val="-3"/>
        </w:rPr>
        <w:t> </w:t>
      </w:r>
      <w:r>
        <w:rPr/>
        <w:t>DI</w:t>
      </w:r>
      <w:r>
        <w:rPr>
          <w:spacing w:val="-3"/>
        </w:rPr>
        <w:t> </w:t>
      </w:r>
      <w:r>
        <w:rPr>
          <w:spacing w:val="-2"/>
        </w:rPr>
        <w:t>SERVIZIO</w:t>
      </w:r>
    </w:p>
    <w:p>
      <w:pPr>
        <w:pStyle w:val="BodyText"/>
        <w:ind w:left="0"/>
      </w:pPr>
    </w:p>
    <w:p>
      <w:pPr>
        <w:pStyle w:val="BodyText"/>
        <w:spacing w:before="34"/>
        <w:ind w:left="0"/>
      </w:pPr>
    </w:p>
    <w:p>
      <w:pPr>
        <w:pStyle w:val="BodyText"/>
        <w:ind w:left="6691"/>
      </w:pPr>
      <w:r>
        <w:rPr/>
        <w:t>Ai</w:t>
      </w:r>
      <w:r>
        <w:rPr>
          <w:spacing w:val="-2"/>
        </w:rPr>
        <w:t> docenti</w:t>
      </w:r>
    </w:p>
    <w:p>
      <w:pPr>
        <w:pStyle w:val="BodyText"/>
        <w:spacing w:before="190"/>
        <w:ind w:left="6691"/>
      </w:pPr>
      <w:r>
        <w:rPr/>
        <w:t>Al</w:t>
      </w:r>
      <w:r>
        <w:rPr>
          <w:spacing w:val="-9"/>
        </w:rPr>
        <w:t> </w:t>
      </w:r>
      <w:r>
        <w:rPr/>
        <w:t>personale</w:t>
      </w:r>
      <w:r>
        <w:rPr>
          <w:spacing w:val="-9"/>
        </w:rPr>
        <w:t> </w:t>
      </w:r>
      <w:r>
        <w:rPr>
          <w:spacing w:val="-5"/>
        </w:rPr>
        <w:t>ATA</w:t>
      </w:r>
    </w:p>
    <w:p>
      <w:pPr>
        <w:pStyle w:val="BodyText"/>
        <w:ind w:left="0"/>
      </w:pPr>
    </w:p>
    <w:p>
      <w:pPr>
        <w:pStyle w:val="BodyText"/>
        <w:ind w:left="0"/>
      </w:pPr>
    </w:p>
    <w:p>
      <w:pPr>
        <w:pStyle w:val="BodyText"/>
        <w:spacing w:before="85"/>
        <w:ind w:left="0"/>
      </w:pPr>
    </w:p>
    <w:p>
      <w:pPr>
        <w:pStyle w:val="BodyText"/>
        <w:spacing w:before="1"/>
        <w:jc w:val="both"/>
      </w:pPr>
      <w:r>
        <w:rPr/>
        <w:t>OGGETTO:</w:t>
      </w:r>
      <w:r>
        <w:rPr>
          <w:spacing w:val="-2"/>
        </w:rPr>
        <w:t> </w:t>
      </w:r>
      <w:r>
        <w:rPr/>
        <w:t>presa</w:t>
      </w:r>
      <w:r>
        <w:rPr>
          <w:spacing w:val="-4"/>
        </w:rPr>
        <w:t> </w:t>
      </w:r>
      <w:r>
        <w:rPr/>
        <w:t>di</w:t>
      </w:r>
      <w:r>
        <w:rPr>
          <w:spacing w:val="-2"/>
        </w:rPr>
        <w:t> </w:t>
      </w:r>
      <w:r>
        <w:rPr/>
        <w:t>servizio</w:t>
      </w:r>
      <w:r>
        <w:rPr>
          <w:spacing w:val="-2"/>
        </w:rPr>
        <w:t> </w:t>
      </w:r>
      <w:r>
        <w:rPr/>
        <w:t>personale</w:t>
      </w:r>
      <w:r>
        <w:rPr>
          <w:spacing w:val="-4"/>
        </w:rPr>
        <w:t> </w:t>
      </w:r>
      <w:r>
        <w:rPr/>
        <w:t>docente</w:t>
      </w:r>
      <w:r>
        <w:rPr>
          <w:spacing w:val="-2"/>
        </w:rPr>
        <w:t> </w:t>
      </w:r>
      <w:r>
        <w:rPr/>
        <w:t>e</w:t>
      </w:r>
      <w:r>
        <w:rPr>
          <w:spacing w:val="-2"/>
        </w:rPr>
        <w:t> </w:t>
      </w:r>
      <w:r>
        <w:rPr/>
        <w:t>ATA dal</w:t>
      </w:r>
      <w:r>
        <w:rPr>
          <w:spacing w:val="-2"/>
        </w:rPr>
        <w:t> </w:t>
      </w:r>
      <w:r>
        <w:rPr/>
        <w:t>1°</w:t>
      </w:r>
      <w:r>
        <w:rPr>
          <w:spacing w:val="-3"/>
        </w:rPr>
        <w:t> </w:t>
      </w:r>
      <w:r>
        <w:rPr/>
        <w:t>settembre </w:t>
      </w:r>
      <w:r>
        <w:rPr>
          <w:spacing w:val="-4"/>
        </w:rPr>
        <w:t>2024</w:t>
      </w:r>
    </w:p>
    <w:p>
      <w:pPr>
        <w:pStyle w:val="BodyText"/>
        <w:spacing w:before="292"/>
        <w:ind w:left="0"/>
      </w:pPr>
    </w:p>
    <w:p>
      <w:pPr>
        <w:pStyle w:val="BodyText"/>
        <w:ind w:right="17"/>
        <w:jc w:val="both"/>
      </w:pPr>
      <w:r>
        <w:rPr/>
        <w:t>Si richiamano alcuni principi generali sulla presa di servizio del personale docente e ATA, con particolare riferimento agli obblighi dei dipendenti di nuova nomina nell’istituzione scolastica e alla disciplina delle incompatibilità nel pubblico impiego.</w:t>
      </w:r>
    </w:p>
    <w:p>
      <w:pPr>
        <w:pStyle w:val="BodyText"/>
        <w:spacing w:before="26"/>
        <w:ind w:left="0"/>
      </w:pPr>
    </w:p>
    <w:p>
      <w:pPr>
        <w:pStyle w:val="Heading1"/>
        <w:numPr>
          <w:ilvl w:val="0"/>
          <w:numId w:val="1"/>
        </w:numPr>
        <w:tabs>
          <w:tab w:pos="704" w:val="left" w:leader="none"/>
        </w:tabs>
        <w:spacing w:line="240" w:lineRule="auto" w:before="0" w:after="0"/>
        <w:ind w:left="704" w:right="0" w:hanging="250"/>
        <w:jc w:val="both"/>
      </w:pPr>
      <w:r>
        <w:rPr/>
        <w:t>Con</w:t>
      </w:r>
      <w:r>
        <w:rPr>
          <w:spacing w:val="2"/>
        </w:rPr>
        <w:t> </w:t>
      </w:r>
      <w:r>
        <w:rPr/>
        <w:t>la</w:t>
      </w:r>
      <w:r>
        <w:rPr>
          <w:spacing w:val="7"/>
        </w:rPr>
        <w:t> </w:t>
      </w:r>
      <w:r>
        <w:rPr/>
        <w:t>“presa</w:t>
      </w:r>
      <w:r>
        <w:rPr>
          <w:spacing w:val="7"/>
        </w:rPr>
        <w:t> </w:t>
      </w:r>
      <w:r>
        <w:rPr/>
        <w:t>di</w:t>
      </w:r>
      <w:r>
        <w:rPr>
          <w:spacing w:val="5"/>
        </w:rPr>
        <w:t> </w:t>
      </w:r>
      <w:r>
        <w:rPr/>
        <w:t>servizio”</w:t>
      </w:r>
      <w:r>
        <w:rPr>
          <w:spacing w:val="4"/>
        </w:rPr>
        <w:t> </w:t>
      </w:r>
      <w:r>
        <w:rPr/>
        <w:t>il</w:t>
      </w:r>
      <w:r>
        <w:rPr>
          <w:spacing w:val="5"/>
        </w:rPr>
        <w:t> </w:t>
      </w:r>
      <w:r>
        <w:rPr/>
        <w:t>dipendente</w:t>
      </w:r>
      <w:r>
        <w:rPr>
          <w:spacing w:val="6"/>
        </w:rPr>
        <w:t> </w:t>
      </w:r>
      <w:r>
        <w:rPr/>
        <w:t>è</w:t>
      </w:r>
      <w:r>
        <w:rPr>
          <w:spacing w:val="7"/>
        </w:rPr>
        <w:t> </w:t>
      </w:r>
      <w:r>
        <w:rPr/>
        <w:t>chiamato</w:t>
      </w:r>
      <w:r>
        <w:rPr>
          <w:spacing w:val="7"/>
        </w:rPr>
        <w:t> </w:t>
      </w:r>
      <w:r>
        <w:rPr/>
        <w:t>a</w:t>
      </w:r>
      <w:r>
        <w:rPr>
          <w:spacing w:val="7"/>
        </w:rPr>
        <w:t> </w:t>
      </w:r>
      <w:r>
        <w:rPr/>
        <w:t>sottoscrivere</w:t>
      </w:r>
      <w:r>
        <w:rPr>
          <w:spacing w:val="4"/>
        </w:rPr>
        <w:t> </w:t>
      </w:r>
      <w:r>
        <w:rPr/>
        <w:t>una</w:t>
      </w:r>
      <w:r>
        <w:rPr>
          <w:spacing w:val="7"/>
        </w:rPr>
        <w:t> </w:t>
      </w:r>
      <w:r>
        <w:rPr/>
        <w:t>serie</w:t>
      </w:r>
      <w:r>
        <w:rPr>
          <w:spacing w:val="6"/>
        </w:rPr>
        <w:t> </w:t>
      </w:r>
      <w:r>
        <w:rPr/>
        <w:t>di </w:t>
      </w:r>
      <w:r>
        <w:rPr>
          <w:spacing w:val="-2"/>
        </w:rPr>
        <w:t>dichiarazioni.</w:t>
      </w:r>
    </w:p>
    <w:p>
      <w:pPr>
        <w:pStyle w:val="BodyText"/>
        <w:spacing w:before="28"/>
        <w:jc w:val="both"/>
      </w:pPr>
      <w:r>
        <w:rPr/>
        <w:t>Tra</w:t>
      </w:r>
      <w:r>
        <w:rPr>
          <w:spacing w:val="-3"/>
        </w:rPr>
        <w:t> </w:t>
      </w:r>
      <w:r>
        <w:rPr/>
        <w:t>queste,</w:t>
      </w:r>
      <w:r>
        <w:rPr>
          <w:spacing w:val="-3"/>
        </w:rPr>
        <w:t> </w:t>
      </w:r>
      <w:r>
        <w:rPr/>
        <w:t>si</w:t>
      </w:r>
      <w:r>
        <w:rPr>
          <w:spacing w:val="-5"/>
        </w:rPr>
        <w:t> </w:t>
      </w:r>
      <w:r>
        <w:rPr/>
        <w:t>presti</w:t>
      </w:r>
      <w:r>
        <w:rPr>
          <w:spacing w:val="-5"/>
        </w:rPr>
        <w:t> </w:t>
      </w:r>
      <w:r>
        <w:rPr/>
        <w:t>particolare</w:t>
      </w:r>
      <w:r>
        <w:rPr>
          <w:spacing w:val="-3"/>
        </w:rPr>
        <w:t> </w:t>
      </w:r>
      <w:r>
        <w:rPr/>
        <w:t>attenzione </w:t>
      </w:r>
      <w:r>
        <w:rPr>
          <w:spacing w:val="-5"/>
        </w:rPr>
        <w:t>a:</w:t>
      </w:r>
    </w:p>
    <w:p>
      <w:pPr>
        <w:pStyle w:val="BodyText"/>
        <w:ind w:right="19"/>
        <w:jc w:val="both"/>
      </w:pPr>
      <w:r>
        <w:rPr>
          <w:u w:val="single"/>
        </w:rPr>
        <w:t>Dichiarazione</w:t>
      </w:r>
      <w:r>
        <w:rPr>
          <w:spacing w:val="-14"/>
          <w:u w:val="single"/>
        </w:rPr>
        <w:t> </w:t>
      </w:r>
      <w:r>
        <w:rPr>
          <w:u w:val="single"/>
        </w:rPr>
        <w:t>relativa</w:t>
      </w:r>
      <w:r>
        <w:rPr>
          <w:spacing w:val="-14"/>
          <w:u w:val="single"/>
        </w:rPr>
        <w:t> </w:t>
      </w:r>
      <w:r>
        <w:rPr>
          <w:u w:val="single"/>
        </w:rPr>
        <w:t>alla</w:t>
      </w:r>
      <w:r>
        <w:rPr>
          <w:spacing w:val="-13"/>
          <w:u w:val="single"/>
        </w:rPr>
        <w:t> </w:t>
      </w:r>
      <w:r>
        <w:rPr>
          <w:u w:val="single"/>
        </w:rPr>
        <w:t>conoscenza</w:t>
      </w:r>
      <w:r>
        <w:rPr>
          <w:spacing w:val="-13"/>
          <w:u w:val="single"/>
        </w:rPr>
        <w:t> </w:t>
      </w:r>
      <w:r>
        <w:rPr>
          <w:u w:val="single"/>
        </w:rPr>
        <w:t>di</w:t>
      </w:r>
      <w:r>
        <w:rPr>
          <w:spacing w:val="-14"/>
          <w:u w:val="single"/>
        </w:rPr>
        <w:t> </w:t>
      </w:r>
      <w:r>
        <w:rPr>
          <w:u w:val="single"/>
        </w:rPr>
        <w:t>essere</w:t>
      </w:r>
      <w:r>
        <w:rPr>
          <w:spacing w:val="-14"/>
          <w:u w:val="single"/>
        </w:rPr>
        <w:t> </w:t>
      </w:r>
      <w:r>
        <w:rPr>
          <w:u w:val="single"/>
        </w:rPr>
        <w:t>sottoposto</w:t>
      </w:r>
      <w:r>
        <w:rPr>
          <w:spacing w:val="-12"/>
          <w:u w:val="single"/>
        </w:rPr>
        <w:t> </w:t>
      </w:r>
      <w:r>
        <w:rPr>
          <w:u w:val="single"/>
        </w:rPr>
        <w:t>a</w:t>
      </w:r>
      <w:r>
        <w:rPr>
          <w:spacing w:val="-14"/>
          <w:u w:val="single"/>
        </w:rPr>
        <w:t> </w:t>
      </w:r>
      <w:r>
        <w:rPr>
          <w:u w:val="single"/>
        </w:rPr>
        <w:t>procedimento</w:t>
      </w:r>
      <w:r>
        <w:rPr>
          <w:spacing w:val="-12"/>
          <w:u w:val="single"/>
        </w:rPr>
        <w:t> </w:t>
      </w:r>
      <w:r>
        <w:rPr>
          <w:u w:val="single"/>
        </w:rPr>
        <w:t>penale</w:t>
      </w:r>
      <w:r>
        <w:rPr>
          <w:spacing w:val="-8"/>
          <w:u w:val="single"/>
        </w:rPr>
        <w:t> </w:t>
      </w:r>
      <w:r>
        <w:rPr>
          <w:u w:val="single"/>
        </w:rPr>
        <w:t>o</w:t>
      </w:r>
      <w:r>
        <w:rPr>
          <w:spacing w:val="-13"/>
          <w:u w:val="single"/>
        </w:rPr>
        <w:t> </w:t>
      </w:r>
      <w:r>
        <w:rPr>
          <w:u w:val="single"/>
        </w:rPr>
        <w:t>di</w:t>
      </w:r>
      <w:r>
        <w:rPr>
          <w:spacing w:val="-13"/>
          <w:u w:val="single"/>
        </w:rPr>
        <w:t> </w:t>
      </w:r>
      <w:r>
        <w:rPr>
          <w:u w:val="single"/>
        </w:rPr>
        <w:t>avere</w:t>
      </w:r>
      <w:r>
        <w:rPr>
          <w:spacing w:val="-2"/>
          <w:u w:val="single"/>
        </w:rPr>
        <w:t> </w:t>
      </w:r>
      <w:r>
        <w:rPr>
          <w:u w:val="single"/>
        </w:rPr>
        <w:t>riportato</w:t>
      </w:r>
      <w:r>
        <w:rPr/>
        <w:t> </w:t>
      </w:r>
      <w:r>
        <w:rPr>
          <w:spacing w:val="-2"/>
          <w:u w:val="single"/>
        </w:rPr>
        <w:t>condanne.</w:t>
      </w:r>
    </w:p>
    <w:p>
      <w:pPr>
        <w:pStyle w:val="BodyText"/>
        <w:ind w:right="20"/>
        <w:jc w:val="both"/>
      </w:pPr>
      <w:r>
        <w:rPr/>
        <w:t>Tale dichiarazione è finalizzata a verificare la ricorrenza di reati ostativi all’assunzione di un pubblico impiego. I reati ostativi da considerare sono quelli che la disciplina del reclutamento indica. Sono per lo più richiamati:</w:t>
      </w:r>
    </w:p>
    <w:p>
      <w:pPr>
        <w:pStyle w:val="ListParagraph"/>
        <w:numPr>
          <w:ilvl w:val="1"/>
          <w:numId w:val="1"/>
        </w:numPr>
        <w:tabs>
          <w:tab w:pos="735" w:val="left" w:leader="none"/>
          <w:tab w:pos="737" w:val="left" w:leader="none"/>
        </w:tabs>
        <w:spacing w:line="240" w:lineRule="auto" w:before="1" w:after="0"/>
        <w:ind w:left="737" w:right="20" w:hanging="284"/>
        <w:jc w:val="left"/>
        <w:rPr>
          <w:sz w:val="24"/>
        </w:rPr>
      </w:pPr>
      <w:r>
        <w:rPr>
          <w:sz w:val="24"/>
        </w:rPr>
        <w:t>quelli</w:t>
      </w:r>
      <w:r>
        <w:rPr>
          <w:spacing w:val="61"/>
          <w:sz w:val="24"/>
        </w:rPr>
        <w:t> </w:t>
      </w:r>
      <w:r>
        <w:rPr>
          <w:sz w:val="24"/>
        </w:rPr>
        <w:t>riportati</w:t>
      </w:r>
      <w:r>
        <w:rPr>
          <w:spacing w:val="40"/>
          <w:sz w:val="24"/>
        </w:rPr>
        <w:t> </w:t>
      </w:r>
      <w:r>
        <w:rPr>
          <w:sz w:val="24"/>
        </w:rPr>
        <w:t>nella</w:t>
      </w:r>
      <w:r>
        <w:rPr>
          <w:spacing w:val="63"/>
          <w:sz w:val="24"/>
        </w:rPr>
        <w:t> </w:t>
      </w:r>
      <w:r>
        <w:rPr>
          <w:sz w:val="24"/>
        </w:rPr>
        <w:t>legge</w:t>
      </w:r>
      <w:r>
        <w:rPr>
          <w:spacing w:val="63"/>
          <w:sz w:val="24"/>
        </w:rPr>
        <w:t> </w:t>
      </w:r>
      <w:r>
        <w:rPr>
          <w:sz w:val="24"/>
        </w:rPr>
        <w:t>n.</w:t>
      </w:r>
      <w:r>
        <w:rPr>
          <w:spacing w:val="60"/>
          <w:sz w:val="24"/>
        </w:rPr>
        <w:t> </w:t>
      </w:r>
      <w:r>
        <w:rPr>
          <w:sz w:val="24"/>
        </w:rPr>
        <w:t>16/92,</w:t>
      </w:r>
      <w:r>
        <w:rPr>
          <w:spacing w:val="40"/>
          <w:sz w:val="24"/>
        </w:rPr>
        <w:t> </w:t>
      </w:r>
      <w:r>
        <w:rPr>
          <w:sz w:val="24"/>
        </w:rPr>
        <w:t>poi</w:t>
      </w:r>
      <w:r>
        <w:rPr>
          <w:spacing w:val="61"/>
          <w:sz w:val="24"/>
        </w:rPr>
        <w:t> </w:t>
      </w:r>
      <w:r>
        <w:rPr>
          <w:sz w:val="24"/>
        </w:rPr>
        <w:t>trasfusa</w:t>
      </w:r>
      <w:r>
        <w:rPr>
          <w:spacing w:val="63"/>
          <w:sz w:val="24"/>
        </w:rPr>
        <w:t> </w:t>
      </w:r>
      <w:r>
        <w:rPr>
          <w:sz w:val="24"/>
        </w:rPr>
        <w:t>nel</w:t>
      </w:r>
      <w:r>
        <w:rPr>
          <w:spacing w:val="61"/>
          <w:sz w:val="24"/>
        </w:rPr>
        <w:t> </w:t>
      </w:r>
      <w:r>
        <w:rPr>
          <w:sz w:val="24"/>
        </w:rPr>
        <w:t>d.</w:t>
      </w:r>
      <w:r>
        <w:rPr>
          <w:spacing w:val="60"/>
          <w:sz w:val="24"/>
        </w:rPr>
        <w:t> </w:t>
      </w:r>
      <w:r>
        <w:rPr>
          <w:sz w:val="24"/>
        </w:rPr>
        <w:t>lgs.</w:t>
      </w:r>
      <w:r>
        <w:rPr>
          <w:spacing w:val="61"/>
          <w:sz w:val="24"/>
        </w:rPr>
        <w:t> </w:t>
      </w:r>
      <w:r>
        <w:rPr>
          <w:sz w:val="24"/>
        </w:rPr>
        <w:t>n.</w:t>
      </w:r>
      <w:r>
        <w:rPr>
          <w:spacing w:val="62"/>
          <w:sz w:val="24"/>
        </w:rPr>
        <w:t> </w:t>
      </w:r>
      <w:r>
        <w:rPr>
          <w:sz w:val="24"/>
        </w:rPr>
        <w:t>235/12</w:t>
      </w:r>
      <w:r>
        <w:rPr>
          <w:spacing w:val="63"/>
          <w:sz w:val="24"/>
        </w:rPr>
        <w:t> </w:t>
      </w:r>
      <w:r>
        <w:rPr>
          <w:sz w:val="24"/>
        </w:rPr>
        <w:t>(come,</w:t>
      </w:r>
      <w:r>
        <w:rPr>
          <w:spacing w:val="61"/>
          <w:sz w:val="24"/>
        </w:rPr>
        <w:t> </w:t>
      </w:r>
      <w:r>
        <w:rPr>
          <w:sz w:val="24"/>
        </w:rPr>
        <w:t>ad esempio, i reati di cui all’art. 73 T.U. Stupefacenti)</w:t>
      </w:r>
    </w:p>
    <w:p>
      <w:pPr>
        <w:pStyle w:val="ListParagraph"/>
        <w:numPr>
          <w:ilvl w:val="1"/>
          <w:numId w:val="1"/>
        </w:numPr>
        <w:tabs>
          <w:tab w:pos="735" w:val="left" w:leader="none"/>
          <w:tab w:pos="737" w:val="left" w:leader="none"/>
        </w:tabs>
        <w:spacing w:line="240" w:lineRule="auto" w:before="1" w:after="0"/>
        <w:ind w:left="737" w:right="20" w:hanging="284"/>
        <w:jc w:val="left"/>
        <w:rPr>
          <w:sz w:val="24"/>
        </w:rPr>
      </w:pPr>
      <w:r>
        <w:rPr>
          <w:sz w:val="24"/>
        </w:rPr>
        <w:t>i</w:t>
      </w:r>
      <w:r>
        <w:rPr>
          <w:spacing w:val="40"/>
          <w:sz w:val="24"/>
        </w:rPr>
        <w:t> </w:t>
      </w:r>
      <w:r>
        <w:rPr>
          <w:sz w:val="24"/>
        </w:rPr>
        <w:t>reati</w:t>
      </w:r>
      <w:r>
        <w:rPr>
          <w:spacing w:val="40"/>
          <w:sz w:val="24"/>
        </w:rPr>
        <w:t> </w:t>
      </w:r>
      <w:r>
        <w:rPr>
          <w:sz w:val="24"/>
        </w:rPr>
        <w:t>di</w:t>
      </w:r>
      <w:r>
        <w:rPr>
          <w:spacing w:val="40"/>
          <w:sz w:val="24"/>
        </w:rPr>
        <w:t> </w:t>
      </w:r>
      <w:r>
        <w:rPr>
          <w:sz w:val="24"/>
        </w:rPr>
        <w:t>cui</w:t>
      </w:r>
      <w:r>
        <w:rPr>
          <w:spacing w:val="40"/>
          <w:sz w:val="24"/>
        </w:rPr>
        <w:t> </w:t>
      </w:r>
      <w:r>
        <w:rPr>
          <w:sz w:val="24"/>
        </w:rPr>
        <w:t>agli</w:t>
      </w:r>
      <w:r>
        <w:rPr>
          <w:spacing w:val="40"/>
          <w:sz w:val="24"/>
        </w:rPr>
        <w:t> </w:t>
      </w:r>
      <w:r>
        <w:rPr>
          <w:sz w:val="24"/>
        </w:rPr>
        <w:t>articoli600-</w:t>
      </w:r>
      <w:r>
        <w:rPr>
          <w:i/>
          <w:sz w:val="24"/>
        </w:rPr>
        <w:t>bis</w:t>
      </w:r>
      <w:r>
        <w:rPr>
          <w:sz w:val="24"/>
        </w:rPr>
        <w:t>,</w:t>
      </w:r>
      <w:r>
        <w:rPr>
          <w:spacing w:val="40"/>
          <w:sz w:val="24"/>
        </w:rPr>
        <w:t> </w:t>
      </w:r>
      <w:r>
        <w:rPr>
          <w:sz w:val="24"/>
        </w:rPr>
        <w:t>600-</w:t>
      </w:r>
      <w:r>
        <w:rPr>
          <w:i/>
          <w:sz w:val="24"/>
        </w:rPr>
        <w:t>ter</w:t>
      </w:r>
      <w:r>
        <w:rPr>
          <w:sz w:val="24"/>
        </w:rPr>
        <w:t>,</w:t>
      </w:r>
      <w:r>
        <w:rPr>
          <w:spacing w:val="40"/>
          <w:sz w:val="24"/>
        </w:rPr>
        <w:t> </w:t>
      </w:r>
      <w:r>
        <w:rPr>
          <w:sz w:val="24"/>
        </w:rPr>
        <w:t>600-</w:t>
      </w:r>
      <w:r>
        <w:rPr>
          <w:i/>
          <w:sz w:val="24"/>
        </w:rPr>
        <w:t>quater</w:t>
      </w:r>
      <w:r>
        <w:rPr>
          <w:sz w:val="24"/>
        </w:rPr>
        <w:t>,</w:t>
      </w:r>
      <w:r>
        <w:rPr>
          <w:spacing w:val="40"/>
          <w:sz w:val="24"/>
        </w:rPr>
        <w:t> </w:t>
      </w:r>
      <w:r>
        <w:rPr>
          <w:sz w:val="24"/>
        </w:rPr>
        <w:t>600-</w:t>
      </w:r>
      <w:r>
        <w:rPr>
          <w:i/>
          <w:sz w:val="24"/>
        </w:rPr>
        <w:t>quinquies</w:t>
      </w:r>
      <w:r>
        <w:rPr>
          <w:sz w:val="24"/>
        </w:rPr>
        <w:t>e</w:t>
      </w:r>
      <w:r>
        <w:rPr>
          <w:spacing w:val="40"/>
          <w:sz w:val="24"/>
        </w:rPr>
        <w:t> </w:t>
      </w:r>
      <w:r>
        <w:rPr>
          <w:sz w:val="24"/>
        </w:rPr>
        <w:t>609-</w:t>
      </w:r>
      <w:r>
        <w:rPr>
          <w:i/>
          <w:sz w:val="24"/>
        </w:rPr>
        <w:t>undecies</w:t>
      </w:r>
      <w:r>
        <w:rPr>
          <w:i/>
          <w:spacing w:val="40"/>
          <w:sz w:val="24"/>
        </w:rPr>
        <w:t> </w:t>
      </w:r>
      <w:r>
        <w:rPr>
          <w:sz w:val="24"/>
        </w:rPr>
        <w:t>del</w:t>
      </w:r>
      <w:r>
        <w:rPr>
          <w:spacing w:val="40"/>
          <w:sz w:val="24"/>
        </w:rPr>
        <w:t> </w:t>
      </w:r>
      <w:r>
        <w:rPr>
          <w:sz w:val="24"/>
        </w:rPr>
        <w:t>codice penale, secondo quanto stabilito dal d. lgs. n. 39/14</w:t>
      </w:r>
    </w:p>
    <w:p>
      <w:pPr>
        <w:pStyle w:val="ListParagraph"/>
        <w:numPr>
          <w:ilvl w:val="1"/>
          <w:numId w:val="1"/>
        </w:numPr>
        <w:tabs>
          <w:tab w:pos="735" w:val="left" w:leader="none"/>
          <w:tab w:pos="737" w:val="left" w:leader="none"/>
        </w:tabs>
        <w:spacing w:line="240" w:lineRule="auto" w:before="2" w:after="0"/>
        <w:ind w:left="737" w:right="19" w:hanging="284"/>
        <w:jc w:val="left"/>
        <w:rPr>
          <w:sz w:val="24"/>
        </w:rPr>
      </w:pPr>
      <w:r>
        <w:rPr>
          <w:sz w:val="24"/>
        </w:rPr>
        <w:t>art.</w:t>
      </w:r>
      <w:r>
        <w:rPr>
          <w:spacing w:val="-15"/>
          <w:sz w:val="24"/>
        </w:rPr>
        <w:t> </w:t>
      </w:r>
      <w:r>
        <w:rPr>
          <w:sz w:val="24"/>
        </w:rPr>
        <w:t>32-quater</w:t>
      </w:r>
      <w:r>
        <w:rPr>
          <w:spacing w:val="-14"/>
          <w:sz w:val="24"/>
        </w:rPr>
        <w:t> </w:t>
      </w:r>
      <w:r>
        <w:rPr>
          <w:sz w:val="24"/>
        </w:rPr>
        <w:t>del</w:t>
      </w:r>
      <w:r>
        <w:rPr>
          <w:spacing w:val="-14"/>
          <w:sz w:val="24"/>
        </w:rPr>
        <w:t> </w:t>
      </w:r>
      <w:r>
        <w:rPr>
          <w:sz w:val="24"/>
        </w:rPr>
        <w:t>CP,</w:t>
      </w:r>
      <w:r>
        <w:rPr>
          <w:spacing w:val="-14"/>
          <w:sz w:val="24"/>
        </w:rPr>
        <w:t> </w:t>
      </w:r>
      <w:r>
        <w:rPr>
          <w:sz w:val="24"/>
        </w:rPr>
        <w:t>che</w:t>
      </w:r>
      <w:r>
        <w:rPr>
          <w:spacing w:val="-13"/>
          <w:sz w:val="24"/>
        </w:rPr>
        <w:t> </w:t>
      </w:r>
      <w:r>
        <w:rPr>
          <w:sz w:val="24"/>
        </w:rPr>
        <w:t>fa</w:t>
      </w:r>
      <w:r>
        <w:rPr>
          <w:spacing w:val="-14"/>
          <w:sz w:val="24"/>
        </w:rPr>
        <w:t> </w:t>
      </w:r>
      <w:r>
        <w:rPr>
          <w:sz w:val="24"/>
        </w:rPr>
        <w:t>riferimento</w:t>
      </w:r>
      <w:r>
        <w:rPr>
          <w:spacing w:val="-14"/>
          <w:sz w:val="24"/>
        </w:rPr>
        <w:t> </w:t>
      </w:r>
      <w:r>
        <w:rPr>
          <w:sz w:val="24"/>
        </w:rPr>
        <w:t>ad</w:t>
      </w:r>
      <w:r>
        <w:rPr>
          <w:spacing w:val="-13"/>
          <w:sz w:val="24"/>
        </w:rPr>
        <w:t> </w:t>
      </w:r>
      <w:r>
        <w:rPr>
          <w:sz w:val="24"/>
        </w:rPr>
        <w:t>una</w:t>
      </w:r>
      <w:r>
        <w:rPr>
          <w:spacing w:val="-14"/>
          <w:sz w:val="24"/>
        </w:rPr>
        <w:t> </w:t>
      </w:r>
      <w:r>
        <w:rPr>
          <w:sz w:val="24"/>
        </w:rPr>
        <w:t>serie</w:t>
      </w:r>
      <w:r>
        <w:rPr>
          <w:spacing w:val="-13"/>
          <w:sz w:val="24"/>
        </w:rPr>
        <w:t> </w:t>
      </w:r>
      <w:r>
        <w:rPr>
          <w:sz w:val="24"/>
        </w:rPr>
        <w:t>di</w:t>
      </w:r>
      <w:r>
        <w:rPr>
          <w:spacing w:val="-14"/>
          <w:sz w:val="24"/>
        </w:rPr>
        <w:t> </w:t>
      </w:r>
      <w:r>
        <w:rPr>
          <w:sz w:val="24"/>
        </w:rPr>
        <w:t>reati,</w:t>
      </w:r>
      <w:r>
        <w:rPr>
          <w:spacing w:val="-14"/>
          <w:sz w:val="24"/>
        </w:rPr>
        <w:t> </w:t>
      </w:r>
      <w:r>
        <w:rPr>
          <w:sz w:val="24"/>
        </w:rPr>
        <w:t>a</w:t>
      </w:r>
      <w:r>
        <w:rPr>
          <w:spacing w:val="-13"/>
          <w:sz w:val="24"/>
        </w:rPr>
        <w:t> </w:t>
      </w:r>
      <w:r>
        <w:rPr>
          <w:sz w:val="24"/>
        </w:rPr>
        <w:t>seguito</w:t>
      </w:r>
      <w:r>
        <w:rPr>
          <w:spacing w:val="-14"/>
          <w:sz w:val="24"/>
        </w:rPr>
        <w:t> </w:t>
      </w:r>
      <w:r>
        <w:rPr>
          <w:sz w:val="24"/>
        </w:rPr>
        <w:t>della</w:t>
      </w:r>
      <w:r>
        <w:rPr>
          <w:spacing w:val="-13"/>
          <w:sz w:val="24"/>
        </w:rPr>
        <w:t> </w:t>
      </w:r>
      <w:r>
        <w:rPr>
          <w:sz w:val="24"/>
        </w:rPr>
        <w:t>condannadefinitiva,</w:t>
      </w:r>
      <w:r>
        <w:rPr>
          <w:spacing w:val="-13"/>
          <w:sz w:val="24"/>
        </w:rPr>
        <w:t> </w:t>
      </w:r>
      <w:r>
        <w:rPr>
          <w:sz w:val="24"/>
        </w:rPr>
        <w:t>per i quali è prevista l’impossibilità di stipulare contratti a qualsiasi titolocon la PA.</w:t>
      </w:r>
    </w:p>
    <w:p>
      <w:pPr>
        <w:pStyle w:val="BodyText"/>
        <w:ind w:right="18"/>
        <w:jc w:val="both"/>
      </w:pPr>
      <w:r>
        <w:rPr/>
        <w:t>Se il dipendente dichiara di aver riportato condanne per reato </w:t>
      </w:r>
      <w:r>
        <w:rPr>
          <w:b/>
        </w:rPr>
        <w:t>non ostativo</w:t>
      </w:r>
      <w:r>
        <w:rPr/>
        <w:t>, il DS, in apposita memoria riservata da inserire nel fascicolo personale del dipendente, dà atto di non aver posto in essere alcuna iniziativa poiché il reato non è ostativo all’assunzione di unpubblico impiego.</w:t>
      </w:r>
    </w:p>
    <w:p>
      <w:pPr>
        <w:pStyle w:val="BodyText"/>
        <w:ind w:right="21"/>
        <w:jc w:val="both"/>
      </w:pPr>
      <w:r>
        <w:rPr/>
        <w:t>Se</w:t>
      </w:r>
      <w:r>
        <w:rPr>
          <w:spacing w:val="-1"/>
        </w:rPr>
        <w:t> </w:t>
      </w:r>
      <w:r>
        <w:rPr/>
        <w:t>il dipendente dichiara di aver riportato condanne per reato </w:t>
      </w:r>
      <w:r>
        <w:rPr>
          <w:b/>
        </w:rPr>
        <w:t>ostativo, </w:t>
      </w:r>
      <w:r>
        <w:rPr/>
        <w:t>il contratto non può</w:t>
      </w:r>
      <w:r>
        <w:rPr>
          <w:spacing w:val="-14"/>
        </w:rPr>
        <w:t> </w:t>
      </w:r>
      <w:r>
        <w:rPr/>
        <w:t>essere </w:t>
      </w:r>
      <w:r>
        <w:rPr>
          <w:spacing w:val="-2"/>
        </w:rPr>
        <w:t>stipulato.</w:t>
      </w:r>
    </w:p>
    <w:p>
      <w:pPr>
        <w:pStyle w:val="BodyText"/>
        <w:spacing w:before="291"/>
        <w:jc w:val="both"/>
      </w:pPr>
      <w:r>
        <w:rPr/>
        <w:t>Dichiarazione</w:t>
      </w:r>
      <w:r>
        <w:rPr>
          <w:spacing w:val="-3"/>
        </w:rPr>
        <w:t> </w:t>
      </w:r>
      <w:r>
        <w:rPr/>
        <w:t>di</w:t>
      </w:r>
      <w:r>
        <w:rPr>
          <w:spacing w:val="-3"/>
        </w:rPr>
        <w:t> </w:t>
      </w:r>
      <w:r>
        <w:rPr/>
        <w:t>assenza</w:t>
      </w:r>
      <w:r>
        <w:rPr>
          <w:spacing w:val="-2"/>
        </w:rPr>
        <w:t> </w:t>
      </w:r>
      <w:r>
        <w:rPr/>
        <w:t>di</w:t>
      </w:r>
      <w:r>
        <w:rPr>
          <w:spacing w:val="-5"/>
        </w:rPr>
        <w:t> </w:t>
      </w:r>
      <w:r>
        <w:rPr/>
        <w:t>motivi</w:t>
      </w:r>
      <w:r>
        <w:rPr>
          <w:spacing w:val="-4"/>
        </w:rPr>
        <w:t> </w:t>
      </w:r>
      <w:r>
        <w:rPr/>
        <w:t>di incompatibilità</w:t>
      </w:r>
      <w:r>
        <w:rPr>
          <w:spacing w:val="-3"/>
        </w:rPr>
        <w:t> </w:t>
      </w:r>
      <w:r>
        <w:rPr/>
        <w:t>con</w:t>
      </w:r>
      <w:r>
        <w:rPr>
          <w:spacing w:val="-2"/>
        </w:rPr>
        <w:t> </w:t>
      </w:r>
      <w:r>
        <w:rPr/>
        <w:t>il</w:t>
      </w:r>
      <w:r>
        <w:rPr>
          <w:spacing w:val="-3"/>
        </w:rPr>
        <w:t> </w:t>
      </w:r>
      <w:r>
        <w:rPr/>
        <w:t>pubblico</w:t>
      </w:r>
      <w:r>
        <w:rPr>
          <w:spacing w:val="-4"/>
        </w:rPr>
        <w:t> </w:t>
      </w:r>
      <w:r>
        <w:rPr>
          <w:spacing w:val="-2"/>
        </w:rPr>
        <w:t>impiego.</w:t>
      </w:r>
    </w:p>
    <w:p>
      <w:pPr>
        <w:pStyle w:val="BodyText"/>
        <w:ind w:right="21"/>
        <w:jc w:val="both"/>
      </w:pPr>
      <w:r>
        <w:rPr>
          <w:u w:val="single"/>
        </w:rPr>
        <w:t>Il personale che assume servizio deve dichiarare di non trovarsi in situazioni di</w:t>
      </w:r>
      <w:r>
        <w:rPr/>
        <w:t> </w:t>
      </w:r>
      <w:r>
        <w:rPr>
          <w:u w:val="single"/>
        </w:rPr>
        <w:t>incompatibilità</w:t>
      </w:r>
      <w:r>
        <w:rPr>
          <w:spacing w:val="-6"/>
          <w:u w:val="single"/>
        </w:rPr>
        <w:t> </w:t>
      </w:r>
      <w:r>
        <w:rPr>
          <w:u w:val="single"/>
        </w:rPr>
        <w:t>con</w:t>
      </w:r>
      <w:r>
        <w:rPr>
          <w:spacing w:val="-1"/>
          <w:u w:val="single"/>
        </w:rPr>
        <w:t> </w:t>
      </w:r>
      <w:r>
        <w:rPr>
          <w:u w:val="single"/>
        </w:rPr>
        <w:t>il</w:t>
      </w:r>
      <w:r>
        <w:rPr/>
        <w:t> </w:t>
      </w:r>
      <w:r>
        <w:rPr>
          <w:u w:val="single"/>
        </w:rPr>
        <w:t>pubblico impiego.</w:t>
      </w:r>
      <w:r>
        <w:rPr/>
        <w:t> Le situazioni di incompatibilità sono quelle indicate</w:t>
      </w:r>
      <w:r>
        <w:rPr>
          <w:spacing w:val="-14"/>
        </w:rPr>
        <w:t> </w:t>
      </w:r>
      <w:r>
        <w:rPr/>
        <w:t>dall’articolo 53 del D.Lgs 165 2001 (“incompatibilità, cumulo di impieghi e incarichi”).</w:t>
      </w:r>
    </w:p>
    <w:p>
      <w:pPr>
        <w:pStyle w:val="BodyText"/>
        <w:spacing w:before="2"/>
        <w:ind w:right="18"/>
        <w:jc w:val="both"/>
      </w:pPr>
      <w:r>
        <w:rPr/>
        <w:t>Sono incompatibili in modo assoluto con l’impiego pubblico: lo svolgimento di attività</w:t>
      </w:r>
      <w:r>
        <w:rPr>
          <w:spacing w:val="40"/>
        </w:rPr>
        <w:t> </w:t>
      </w:r>
      <w:r>
        <w:rPr/>
        <w:t>imprenditoriali, commerciali, libero-professionali, di altri lavori pubblici o privati e ilricoprire</w:t>
      </w:r>
      <w:r>
        <w:rPr>
          <w:spacing w:val="-4"/>
        </w:rPr>
        <w:t> </w:t>
      </w:r>
      <w:r>
        <w:rPr/>
        <w:t>cariche sociali in società. L’espletamento di tali attività porta, in sede di assunzione, alla impossibilità di stipulare il contratto. L’eventuale incompatibilità va dichiarata e risolta PRIMA dell’assunzione (deliberazione n°47/2015 della Sezione Controllo Regione Piemontedella Corte dei Conti).</w:t>
      </w:r>
    </w:p>
    <w:p>
      <w:pPr>
        <w:pStyle w:val="BodyText"/>
        <w:ind w:right="17"/>
        <w:jc w:val="both"/>
      </w:pPr>
      <w:r>
        <w:rPr/>
        <w:t>Al personale docente (senza distinzione tra docenti di ruolo e docenti supplenti, né tra personale a tempo pieno e a tempo parziale), ai sensi dell’art. 508, c.15, è consentito, previaautorizzazione del Dirigente Scolastico, l’esercizio della libera professione a condizione che non sia di pregiudizio all’ordinato e completo assolvimento delle attività inerenti alla funzione docente e - precisa la nota MIUR n° 1584 del 29 luglio 2005- se coerente con l’insegnamento impartito.</w:t>
      </w:r>
    </w:p>
    <w:p>
      <w:pPr>
        <w:pStyle w:val="BodyText"/>
        <w:spacing w:after="0"/>
        <w:jc w:val="both"/>
        <w:sectPr>
          <w:type w:val="continuous"/>
          <w:pgSz w:w="11910" w:h="16840"/>
          <w:pgMar w:top="1340" w:bottom="280" w:left="566" w:right="992"/>
        </w:sectPr>
      </w:pPr>
    </w:p>
    <w:p>
      <w:pPr>
        <w:pStyle w:val="BodyText"/>
        <w:spacing w:before="40"/>
        <w:jc w:val="both"/>
      </w:pPr>
      <w:r>
        <w:rPr/>
        <w:t>Alcuni</w:t>
      </w:r>
      <w:r>
        <w:rPr>
          <w:spacing w:val="1"/>
        </w:rPr>
        <w:t> </w:t>
      </w:r>
      <w:r>
        <w:rPr/>
        <w:t>casi</w:t>
      </w:r>
      <w:r>
        <w:rPr>
          <w:spacing w:val="-4"/>
        </w:rPr>
        <w:t> </w:t>
      </w:r>
      <w:r>
        <w:rPr/>
        <w:t>di</w:t>
      </w:r>
      <w:r>
        <w:rPr>
          <w:spacing w:val="-2"/>
        </w:rPr>
        <w:t> incompatibilità:</w:t>
      </w:r>
    </w:p>
    <w:p>
      <w:pPr>
        <w:pStyle w:val="ListParagraph"/>
        <w:numPr>
          <w:ilvl w:val="0"/>
          <w:numId w:val="2"/>
        </w:numPr>
        <w:tabs>
          <w:tab w:pos="879" w:val="left" w:leader="none"/>
          <w:tab w:pos="881" w:val="left" w:leader="none"/>
        </w:tabs>
        <w:spacing w:line="237" w:lineRule="auto" w:before="3" w:after="0"/>
        <w:ind w:left="881" w:right="15" w:hanging="428"/>
        <w:jc w:val="both"/>
        <w:rPr>
          <w:sz w:val="24"/>
        </w:rPr>
      </w:pPr>
      <w:r>
        <w:rPr>
          <w:sz w:val="24"/>
        </w:rPr>
        <w:t>Attività svolta all’interno di impresa familiare. L'attività è compatibile solo se svolta in forma occasionale. L'incarico è autorizzabile allorché il dirigente valuti che detta attività di collaborazione si svolge con i caratteri della occasionalità e non continuità.</w:t>
      </w:r>
    </w:p>
    <w:p>
      <w:pPr>
        <w:pStyle w:val="ListParagraph"/>
        <w:numPr>
          <w:ilvl w:val="0"/>
          <w:numId w:val="2"/>
        </w:numPr>
        <w:tabs>
          <w:tab w:pos="879" w:val="left" w:leader="none"/>
          <w:tab w:pos="881" w:val="left" w:leader="none"/>
        </w:tabs>
        <w:spacing w:line="235" w:lineRule="auto" w:before="4" w:after="0"/>
        <w:ind w:left="881" w:right="22" w:hanging="428"/>
        <w:jc w:val="both"/>
        <w:rPr>
          <w:sz w:val="24"/>
        </w:rPr>
      </w:pPr>
      <w:r>
        <w:rPr>
          <w:sz w:val="24"/>
        </w:rPr>
        <w:t>Attività di amministratore di condominio. L'attività è compatibile solo se svolta per la cura dei propri interessi. (Circolare n. 6 del 1997 della Funzione Pubblica)</w:t>
      </w:r>
    </w:p>
    <w:p>
      <w:pPr>
        <w:pStyle w:val="ListParagraph"/>
        <w:numPr>
          <w:ilvl w:val="0"/>
          <w:numId w:val="2"/>
        </w:numPr>
        <w:tabs>
          <w:tab w:pos="879" w:val="left" w:leader="none"/>
          <w:tab w:pos="881" w:val="left" w:leader="none"/>
        </w:tabs>
        <w:spacing w:line="237" w:lineRule="auto" w:before="5" w:after="0"/>
        <w:ind w:left="881" w:right="19" w:hanging="428"/>
        <w:jc w:val="both"/>
        <w:rPr>
          <w:sz w:val="24"/>
        </w:rPr>
      </w:pPr>
      <w:r>
        <w:rPr>
          <w:sz w:val="24"/>
        </w:rPr>
        <w:t>Essere socio di una società di persone. Bisogna, tuttavia, distinguere cosa accade se il lavoratore è socio e/o ricopre cariche sociali, in società di capitali o di persone. Il principio generale è che il pubblico dipendente non può ricoprire cariche sociali in società aventi scopro di lucro. Pertanto, analizziamo le varie situazioni.</w:t>
      </w:r>
    </w:p>
    <w:p>
      <w:pPr>
        <w:pStyle w:val="BodyText"/>
        <w:spacing w:before="2"/>
        <w:ind w:right="20"/>
        <w:jc w:val="both"/>
      </w:pPr>
      <w:r>
        <w:rPr/>
        <w:t>La partecipazione in qualità di socio in società di persone (società semplici, società in nomecollettivo e società in accomandita semplice) deve essere considerata come esercizio del commercio e dell’industria e quindi vietata.</w:t>
      </w:r>
    </w:p>
    <w:p>
      <w:pPr>
        <w:spacing w:before="0"/>
        <w:ind w:left="454" w:right="19" w:firstLine="0"/>
        <w:jc w:val="both"/>
        <w:rPr>
          <w:i/>
          <w:sz w:val="24"/>
        </w:rPr>
      </w:pPr>
      <w:r>
        <w:rPr>
          <w:sz w:val="24"/>
        </w:rPr>
        <w:t>Di converso, è consentita la partecipazione in società di capitali in qualità di socio (senza però l’assunzione di cariche sociali). La circolare della Funzione Pubblica n°6/97 ha precisato che “</w:t>
      </w:r>
      <w:r>
        <w:rPr>
          <w:i/>
          <w:sz w:val="24"/>
        </w:rPr>
        <w:t>la partecipazione</w:t>
      </w:r>
      <w:r>
        <w:rPr>
          <w:i/>
          <w:spacing w:val="-11"/>
          <w:sz w:val="24"/>
        </w:rPr>
        <w:t> </w:t>
      </w:r>
      <w:r>
        <w:rPr>
          <w:i/>
          <w:sz w:val="24"/>
        </w:rPr>
        <w:t>a</w:t>
      </w:r>
      <w:r>
        <w:rPr>
          <w:i/>
          <w:spacing w:val="-11"/>
          <w:sz w:val="24"/>
        </w:rPr>
        <w:t> </w:t>
      </w:r>
      <w:r>
        <w:rPr>
          <w:i/>
          <w:sz w:val="24"/>
        </w:rPr>
        <w:t>titolo</w:t>
      </w:r>
      <w:r>
        <w:rPr>
          <w:i/>
          <w:spacing w:val="-9"/>
          <w:sz w:val="24"/>
        </w:rPr>
        <w:t> </w:t>
      </w:r>
      <w:r>
        <w:rPr>
          <w:i/>
          <w:sz w:val="24"/>
        </w:rPr>
        <w:t>di</w:t>
      </w:r>
      <w:r>
        <w:rPr>
          <w:i/>
          <w:spacing w:val="-9"/>
          <w:sz w:val="24"/>
        </w:rPr>
        <w:t> </w:t>
      </w:r>
      <w:r>
        <w:rPr>
          <w:i/>
          <w:sz w:val="24"/>
        </w:rPr>
        <w:t>semplice</w:t>
      </w:r>
      <w:r>
        <w:rPr>
          <w:i/>
          <w:spacing w:val="-9"/>
          <w:sz w:val="24"/>
        </w:rPr>
        <w:t> </w:t>
      </w:r>
      <w:r>
        <w:rPr>
          <w:i/>
          <w:sz w:val="24"/>
        </w:rPr>
        <w:t>socio</w:t>
      </w:r>
      <w:r>
        <w:rPr>
          <w:i/>
          <w:spacing w:val="-10"/>
          <w:sz w:val="24"/>
        </w:rPr>
        <w:t> </w:t>
      </w:r>
      <w:r>
        <w:rPr>
          <w:i/>
          <w:sz w:val="24"/>
        </w:rPr>
        <w:t>(con</w:t>
      </w:r>
      <w:r>
        <w:rPr>
          <w:i/>
          <w:spacing w:val="-11"/>
          <w:sz w:val="24"/>
        </w:rPr>
        <w:t> </w:t>
      </w:r>
      <w:r>
        <w:rPr>
          <w:i/>
          <w:sz w:val="24"/>
        </w:rPr>
        <w:t>responsabilità</w:t>
      </w:r>
      <w:r>
        <w:rPr>
          <w:i/>
          <w:spacing w:val="-14"/>
          <w:sz w:val="24"/>
        </w:rPr>
        <w:t> </w:t>
      </w:r>
      <w:r>
        <w:rPr>
          <w:i/>
          <w:sz w:val="24"/>
        </w:rPr>
        <w:t>limitata)</w:t>
      </w:r>
      <w:r>
        <w:rPr>
          <w:i/>
          <w:spacing w:val="-6"/>
          <w:sz w:val="24"/>
        </w:rPr>
        <w:t> </w:t>
      </w:r>
      <w:r>
        <w:rPr>
          <w:i/>
          <w:sz w:val="24"/>
        </w:rPr>
        <w:t>esime</w:t>
      </w:r>
      <w:r>
        <w:rPr>
          <w:i/>
          <w:spacing w:val="-9"/>
          <w:sz w:val="24"/>
        </w:rPr>
        <w:t> </w:t>
      </w:r>
      <w:r>
        <w:rPr>
          <w:i/>
          <w:sz w:val="24"/>
        </w:rPr>
        <w:t>il</w:t>
      </w:r>
      <w:r>
        <w:rPr>
          <w:i/>
          <w:spacing w:val="-11"/>
          <w:sz w:val="24"/>
        </w:rPr>
        <w:t> </w:t>
      </w:r>
      <w:r>
        <w:rPr>
          <w:i/>
          <w:sz w:val="24"/>
        </w:rPr>
        <w:t>dipendente</w:t>
      </w:r>
      <w:r>
        <w:rPr>
          <w:i/>
          <w:spacing w:val="-11"/>
          <w:sz w:val="24"/>
        </w:rPr>
        <w:t> </w:t>
      </w:r>
      <w:r>
        <w:rPr>
          <w:i/>
          <w:sz w:val="24"/>
        </w:rPr>
        <w:t>dallarichiesta di autorizzazione”.</w:t>
      </w:r>
    </w:p>
    <w:p>
      <w:pPr>
        <w:pStyle w:val="BodyText"/>
        <w:ind w:right="18"/>
        <w:jc w:val="both"/>
      </w:pPr>
      <w:r>
        <w:rPr/>
        <w:t>L’art. 61 del DPR</w:t>
      </w:r>
      <w:r>
        <w:rPr>
          <w:spacing w:val="-1"/>
        </w:rPr>
        <w:t> </w:t>
      </w:r>
      <w:r>
        <w:rPr/>
        <w:t>n°3/1957, come novellato dall’art. 18, L. 59/1992, dispone che il divieto</w:t>
      </w:r>
      <w:r>
        <w:rPr>
          <w:spacing w:val="-2"/>
        </w:rPr>
        <w:t> </w:t>
      </w:r>
      <w:r>
        <w:rPr/>
        <w:t>di cui</w:t>
      </w:r>
      <w:r>
        <w:rPr>
          <w:spacing w:val="-6"/>
        </w:rPr>
        <w:t> </w:t>
      </w:r>
      <w:r>
        <w:rPr/>
        <w:t>all’art 60 non si applica nei casi di società cooperative. Dunque, ai sensi della L. 59/1992,</w:t>
      </w:r>
      <w:r>
        <w:rPr>
          <w:spacing w:val="-8"/>
        </w:rPr>
        <w:t> </w:t>
      </w:r>
      <w:r>
        <w:rPr/>
        <w:t>non sussiste incompatibilità tra lo status di pubblico dipendente e la carica sociale in società cooperativa, evidenziando</w:t>
      </w:r>
      <w:r>
        <w:rPr>
          <w:spacing w:val="40"/>
        </w:rPr>
        <w:t> </w:t>
      </w:r>
      <w:r>
        <w:rPr/>
        <w:t>gli</w:t>
      </w:r>
      <w:r>
        <w:rPr>
          <w:spacing w:val="40"/>
        </w:rPr>
        <w:t> </w:t>
      </w:r>
      <w:r>
        <w:rPr/>
        <w:t>scopi</w:t>
      </w:r>
      <w:r>
        <w:rPr>
          <w:spacing w:val="40"/>
        </w:rPr>
        <w:t> </w:t>
      </w:r>
      <w:r>
        <w:rPr/>
        <w:t>esclusivamente</w:t>
      </w:r>
      <w:r>
        <w:rPr>
          <w:spacing w:val="40"/>
        </w:rPr>
        <w:t> </w:t>
      </w:r>
      <w:r>
        <w:rPr/>
        <w:t>o</w:t>
      </w:r>
      <w:r>
        <w:rPr>
          <w:spacing w:val="40"/>
        </w:rPr>
        <w:t> </w:t>
      </w:r>
      <w:r>
        <w:rPr/>
        <w:t>prevalentemente</w:t>
      </w:r>
      <w:r>
        <w:rPr>
          <w:spacing w:val="40"/>
        </w:rPr>
        <w:t> </w:t>
      </w:r>
      <w:r>
        <w:rPr/>
        <w:t>mutualistici.</w:t>
      </w:r>
    </w:p>
    <w:p>
      <w:pPr>
        <w:pStyle w:val="BodyText"/>
        <w:ind w:left="0"/>
      </w:pPr>
    </w:p>
    <w:p>
      <w:pPr>
        <w:pStyle w:val="ListParagraph"/>
        <w:numPr>
          <w:ilvl w:val="0"/>
          <w:numId w:val="2"/>
        </w:numPr>
        <w:tabs>
          <w:tab w:pos="787" w:val="left" w:leader="none"/>
        </w:tabs>
        <w:spacing w:line="240" w:lineRule="auto" w:before="1" w:after="0"/>
        <w:ind w:left="454" w:right="19" w:firstLine="0"/>
        <w:jc w:val="both"/>
        <w:rPr>
          <w:sz w:val="24"/>
        </w:rPr>
      </w:pPr>
      <w:r>
        <w:rPr>
          <w:sz w:val="24"/>
        </w:rPr>
        <w:t>Attività di amministratore unico di società di capitali. E’ assolutamente vietata l’attività di amministratore unico di una società di capitali, in quanto carica sociale palesemente e testualmente vietata e non autorizzabile (Corte dei Conti Sentenza n. 9 del 7 maggio 2019). Solo socio di una società di capitali non è incompatibile con il pubblico impiego, a patto di non entrare a far parte del consiglio di amministrazione, non essere l'amministratore delegato, non fornire, quanto meno ufficialmente, alcun apporto di lavoro, non assumere alcuna carica che possa comportare l'espletamento di poteri decisionali, gestionali.</w:t>
      </w:r>
    </w:p>
    <w:p>
      <w:pPr>
        <w:pStyle w:val="BodyText"/>
        <w:spacing w:before="284"/>
        <w:ind w:left="0"/>
      </w:pPr>
    </w:p>
    <w:p>
      <w:pPr>
        <w:pStyle w:val="Heading1"/>
        <w:numPr>
          <w:ilvl w:val="0"/>
          <w:numId w:val="1"/>
        </w:numPr>
        <w:tabs>
          <w:tab w:pos="694" w:val="left" w:leader="none"/>
        </w:tabs>
        <w:spacing w:line="240" w:lineRule="auto" w:before="0" w:after="0"/>
        <w:ind w:left="694" w:right="0" w:hanging="240"/>
        <w:jc w:val="both"/>
      </w:pPr>
      <w:r>
        <w:rPr/>
        <w:t>Obbligo</w:t>
      </w:r>
      <w:r>
        <w:rPr>
          <w:spacing w:val="-3"/>
        </w:rPr>
        <w:t> </w:t>
      </w:r>
      <w:r>
        <w:rPr/>
        <w:t>della presa</w:t>
      </w:r>
      <w:r>
        <w:rPr>
          <w:spacing w:val="-4"/>
        </w:rPr>
        <w:t> </w:t>
      </w:r>
      <w:r>
        <w:rPr/>
        <w:t>di</w:t>
      </w:r>
      <w:r>
        <w:rPr>
          <w:spacing w:val="-5"/>
        </w:rPr>
        <w:t> </w:t>
      </w:r>
      <w:r>
        <w:rPr/>
        <w:t>servizio</w:t>
      </w:r>
      <w:r>
        <w:rPr>
          <w:spacing w:val="-4"/>
        </w:rPr>
        <w:t> </w:t>
      </w:r>
      <w:r>
        <w:rPr/>
        <w:t>nel giorno</w:t>
      </w:r>
      <w:r>
        <w:rPr>
          <w:spacing w:val="-2"/>
        </w:rPr>
        <w:t> stabilito</w:t>
      </w:r>
    </w:p>
    <w:p>
      <w:pPr>
        <w:pStyle w:val="BodyText"/>
        <w:ind w:right="16"/>
        <w:jc w:val="both"/>
      </w:pPr>
      <w:r>
        <w:rPr/>
        <w:t>Si richiama, a tal proposito l’art. 9 del D.P.R. n. 3/1957 che prevede: “La nomina dell’impiegato che per giustificato motivo assume servizio con ritardo sul termine prefissogli decorre, agli effetti economici, dal giorno in cui prende servizio. Colui che ha conseguito la nomina, se non assume servizio senza giustificato motivo entro il termine stabilito, decade dalla nomina”. Ai sensi dell’art. 436,</w:t>
      </w:r>
      <w:r>
        <w:rPr>
          <w:spacing w:val="-2"/>
        </w:rPr>
        <w:t> </w:t>
      </w:r>
      <w:r>
        <w:rPr/>
        <w:t>comma</w:t>
      </w:r>
      <w:r>
        <w:rPr>
          <w:spacing w:val="-4"/>
        </w:rPr>
        <w:t> </w:t>
      </w:r>
      <w:r>
        <w:rPr/>
        <w:t>3 e</w:t>
      </w:r>
      <w:r>
        <w:rPr>
          <w:spacing w:val="-2"/>
        </w:rPr>
        <w:t> </w:t>
      </w:r>
      <w:r>
        <w:rPr/>
        <w:t>4, “Il</w:t>
      </w:r>
      <w:r>
        <w:rPr>
          <w:spacing w:val="-4"/>
        </w:rPr>
        <w:t> </w:t>
      </w:r>
      <w:r>
        <w:rPr/>
        <w:t>personale,</w:t>
      </w:r>
      <w:r>
        <w:rPr>
          <w:spacing w:val="-2"/>
        </w:rPr>
        <w:t> </w:t>
      </w:r>
      <w:r>
        <w:rPr/>
        <w:t>che</w:t>
      </w:r>
      <w:r>
        <w:rPr>
          <w:spacing w:val="-4"/>
        </w:rPr>
        <w:t> </w:t>
      </w:r>
      <w:r>
        <w:rPr/>
        <w:t>ha accettato</w:t>
      </w:r>
      <w:r>
        <w:rPr>
          <w:spacing w:val="-2"/>
        </w:rPr>
        <w:t> </w:t>
      </w:r>
      <w:r>
        <w:rPr/>
        <w:t>la</w:t>
      </w:r>
      <w:r>
        <w:rPr>
          <w:spacing w:val="-2"/>
        </w:rPr>
        <w:t> </w:t>
      </w:r>
      <w:r>
        <w:rPr/>
        <w:t>nomina con l'assegnazione</w:t>
      </w:r>
      <w:r>
        <w:rPr>
          <w:spacing w:val="-2"/>
        </w:rPr>
        <w:t> </w:t>
      </w:r>
      <w:r>
        <w:rPr/>
        <w:t>della</w:t>
      </w:r>
      <w:r>
        <w:rPr>
          <w:spacing w:val="-2"/>
        </w:rPr>
        <w:t> </w:t>
      </w:r>
      <w:r>
        <w:rPr/>
        <w:t>sede, decade</w:t>
      </w:r>
      <w:r>
        <w:rPr>
          <w:spacing w:val="-1"/>
        </w:rPr>
        <w:t> </w:t>
      </w:r>
      <w:r>
        <w:rPr/>
        <w:t>da eventuali precedenti impieghi</w:t>
      </w:r>
      <w:r>
        <w:rPr>
          <w:spacing w:val="-14"/>
        </w:rPr>
        <w:t> </w:t>
      </w:r>
      <w:r>
        <w:rPr/>
        <w:t>pubblici di ruolo e non di ruolo, con effetto dalla data stabilita per l'assunzione del servizio;</w:t>
      </w:r>
      <w:r>
        <w:rPr>
          <w:spacing w:val="-14"/>
        </w:rPr>
        <w:t> </w:t>
      </w:r>
      <w:r>
        <w:rPr/>
        <w:t>decade parimenti dalla nomina il personale, che, pur avendola accettata, non assume servizio senza giustificato motivo entro il termine stabilito”.</w:t>
      </w:r>
    </w:p>
    <w:p>
      <w:pPr>
        <w:pStyle w:val="BodyText"/>
        <w:ind w:left="0"/>
      </w:pPr>
    </w:p>
    <w:p>
      <w:pPr>
        <w:pStyle w:val="BodyText"/>
        <w:ind w:left="0"/>
      </w:pPr>
    </w:p>
    <w:p>
      <w:pPr>
        <w:pStyle w:val="Heading1"/>
        <w:numPr>
          <w:ilvl w:val="0"/>
          <w:numId w:val="1"/>
        </w:numPr>
        <w:tabs>
          <w:tab w:pos="694" w:val="left" w:leader="none"/>
        </w:tabs>
        <w:spacing w:line="240" w:lineRule="auto" w:before="0" w:after="0"/>
        <w:ind w:left="694" w:right="0" w:hanging="240"/>
        <w:jc w:val="both"/>
      </w:pPr>
      <w:r>
        <w:rPr/>
        <w:t>Differimento</w:t>
      </w:r>
      <w:r>
        <w:rPr>
          <w:spacing w:val="-4"/>
        </w:rPr>
        <w:t> </w:t>
      </w:r>
      <w:r>
        <w:rPr/>
        <w:t>della</w:t>
      </w:r>
      <w:r>
        <w:rPr>
          <w:spacing w:val="-2"/>
        </w:rPr>
        <w:t> </w:t>
      </w:r>
      <w:r>
        <w:rPr/>
        <w:t>presa</w:t>
      </w:r>
      <w:r>
        <w:rPr>
          <w:spacing w:val="-3"/>
        </w:rPr>
        <w:t> </w:t>
      </w:r>
      <w:r>
        <w:rPr/>
        <w:t>di</w:t>
      </w:r>
      <w:r>
        <w:rPr>
          <w:spacing w:val="-4"/>
        </w:rPr>
        <w:t> </w:t>
      </w:r>
      <w:r>
        <w:rPr>
          <w:spacing w:val="-2"/>
        </w:rPr>
        <w:t>servizio</w:t>
      </w:r>
    </w:p>
    <w:p>
      <w:pPr>
        <w:pStyle w:val="BodyText"/>
        <w:spacing w:before="2"/>
        <w:ind w:right="19"/>
        <w:jc w:val="both"/>
      </w:pPr>
      <w:r>
        <w:rPr/>
        <w:t>Si può differire la presa di servizio solo per giustificati motivi, cioè gli adempimenti non dipendenti dalla volontà dell’interessato e le situazioni protette dalla legge che precludono</w:t>
      </w:r>
      <w:r>
        <w:rPr>
          <w:spacing w:val="-10"/>
        </w:rPr>
        <w:t> </w:t>
      </w:r>
      <w:r>
        <w:rPr/>
        <w:t>al dipendente la possibilità di iniziare a lavorare.</w:t>
      </w:r>
    </w:p>
    <w:p>
      <w:pPr>
        <w:pStyle w:val="BodyText"/>
        <w:ind w:right="21"/>
        <w:jc w:val="both"/>
      </w:pPr>
      <w:r>
        <w:rPr/>
        <w:t>Il Ministero dell’Istruzione (circolare relativa alle supplenze, n° 26841 del 5 settembre 2020, “Disposizioni</w:t>
      </w:r>
      <w:r>
        <w:rPr>
          <w:spacing w:val="-9"/>
        </w:rPr>
        <w:t> </w:t>
      </w:r>
      <w:r>
        <w:rPr/>
        <w:t>comuni”)</w:t>
      </w:r>
      <w:r>
        <w:rPr>
          <w:spacing w:val="-11"/>
        </w:rPr>
        <w:t> </w:t>
      </w:r>
      <w:r>
        <w:rPr/>
        <w:t>elenca</w:t>
      </w:r>
      <w:r>
        <w:rPr>
          <w:spacing w:val="-11"/>
        </w:rPr>
        <w:t> </w:t>
      </w:r>
      <w:r>
        <w:rPr/>
        <w:t>i</w:t>
      </w:r>
      <w:r>
        <w:rPr>
          <w:spacing w:val="-11"/>
        </w:rPr>
        <w:t> </w:t>
      </w:r>
      <w:r>
        <w:rPr/>
        <w:t>seguenti</w:t>
      </w:r>
      <w:r>
        <w:rPr>
          <w:spacing w:val="-9"/>
        </w:rPr>
        <w:t> </w:t>
      </w:r>
      <w:r>
        <w:rPr/>
        <w:t>casi:</w:t>
      </w:r>
      <w:r>
        <w:rPr>
          <w:spacing w:val="-11"/>
        </w:rPr>
        <w:t> </w:t>
      </w:r>
      <w:r>
        <w:rPr/>
        <w:t>malattia;</w:t>
      </w:r>
      <w:r>
        <w:rPr>
          <w:spacing w:val="-13"/>
        </w:rPr>
        <w:t> </w:t>
      </w:r>
      <w:r>
        <w:rPr/>
        <w:t>astensione</w:t>
      </w:r>
      <w:r>
        <w:rPr>
          <w:spacing w:val="-13"/>
        </w:rPr>
        <w:t> </w:t>
      </w:r>
      <w:r>
        <w:rPr/>
        <w:t>dal</w:t>
      </w:r>
      <w:r>
        <w:rPr>
          <w:spacing w:val="-9"/>
        </w:rPr>
        <w:t> </w:t>
      </w:r>
      <w:r>
        <w:rPr/>
        <w:t>lavoro</w:t>
      </w:r>
      <w:r>
        <w:rPr>
          <w:spacing w:val="-9"/>
        </w:rPr>
        <w:t> </w:t>
      </w:r>
      <w:r>
        <w:rPr/>
        <w:t>per</w:t>
      </w:r>
      <w:r>
        <w:rPr>
          <w:spacing w:val="-9"/>
        </w:rPr>
        <w:t> </w:t>
      </w:r>
      <w:r>
        <w:rPr/>
        <w:t>maternità;infortunio. Le</w:t>
      </w:r>
      <w:r>
        <w:rPr>
          <w:spacing w:val="-4"/>
        </w:rPr>
        <w:t> </w:t>
      </w:r>
      <w:r>
        <w:rPr/>
        <w:t>stesse</w:t>
      </w:r>
      <w:r>
        <w:rPr>
          <w:spacing w:val="-4"/>
        </w:rPr>
        <w:t> </w:t>
      </w:r>
      <w:r>
        <w:rPr/>
        <w:t>motivazioni</w:t>
      </w:r>
      <w:r>
        <w:rPr>
          <w:spacing w:val="-1"/>
        </w:rPr>
        <w:t> </w:t>
      </w:r>
      <w:r>
        <w:rPr/>
        <w:t>possono</w:t>
      </w:r>
      <w:r>
        <w:rPr>
          <w:spacing w:val="-2"/>
        </w:rPr>
        <w:t> </w:t>
      </w:r>
      <w:r>
        <w:rPr/>
        <w:t>essere</w:t>
      </w:r>
      <w:r>
        <w:rPr>
          <w:spacing w:val="-4"/>
        </w:rPr>
        <w:t> </w:t>
      </w:r>
      <w:r>
        <w:rPr/>
        <w:t>fatte</w:t>
      </w:r>
      <w:r>
        <w:rPr>
          <w:spacing w:val="-6"/>
        </w:rPr>
        <w:t> </w:t>
      </w:r>
      <w:r>
        <w:rPr/>
        <w:t>valere</w:t>
      </w:r>
      <w:r>
        <w:rPr>
          <w:spacing w:val="-6"/>
        </w:rPr>
        <w:t> </w:t>
      </w:r>
      <w:r>
        <w:rPr/>
        <w:t>anche</w:t>
      </w:r>
      <w:r>
        <w:rPr>
          <w:spacing w:val="-4"/>
        </w:rPr>
        <w:t> </w:t>
      </w:r>
      <w:r>
        <w:rPr/>
        <w:t>per</w:t>
      </w:r>
      <w:r>
        <w:rPr>
          <w:spacing w:val="-2"/>
        </w:rPr>
        <w:t> </w:t>
      </w:r>
      <w:r>
        <w:rPr/>
        <w:t>l’assunzione</w:t>
      </w:r>
      <w:r>
        <w:rPr>
          <w:spacing w:val="-4"/>
        </w:rPr>
        <w:t> </w:t>
      </w:r>
      <w:r>
        <w:rPr/>
        <w:t>a</w:t>
      </w:r>
      <w:r>
        <w:rPr>
          <w:spacing w:val="-6"/>
        </w:rPr>
        <w:t> </w:t>
      </w:r>
      <w:r>
        <w:rPr/>
        <w:t>tempoindeterminato. Non ci sono altre disposizioni normative che contengano un elenco dei “giustificati motivi”.</w:t>
      </w:r>
    </w:p>
    <w:p>
      <w:pPr>
        <w:pStyle w:val="BodyText"/>
        <w:spacing w:line="292" w:lineRule="exact"/>
        <w:jc w:val="both"/>
      </w:pPr>
      <w:r>
        <w:rPr/>
        <w:t>È</w:t>
      </w:r>
      <w:r>
        <w:rPr>
          <w:spacing w:val="36"/>
        </w:rPr>
        <w:t> </w:t>
      </w:r>
      <w:r>
        <w:rPr/>
        <w:t>estesa</w:t>
      </w:r>
      <w:r>
        <w:rPr>
          <w:spacing w:val="36"/>
        </w:rPr>
        <w:t> </w:t>
      </w:r>
      <w:r>
        <w:rPr/>
        <w:t>al</w:t>
      </w:r>
      <w:r>
        <w:rPr>
          <w:spacing w:val="34"/>
        </w:rPr>
        <w:t> </w:t>
      </w:r>
      <w:r>
        <w:rPr/>
        <w:t>personale</w:t>
      </w:r>
      <w:r>
        <w:rPr>
          <w:spacing w:val="37"/>
        </w:rPr>
        <w:t> </w:t>
      </w:r>
      <w:r>
        <w:rPr/>
        <w:t>a</w:t>
      </w:r>
      <w:r>
        <w:rPr>
          <w:spacing w:val="41"/>
        </w:rPr>
        <w:t> </w:t>
      </w:r>
      <w:r>
        <w:rPr/>
        <w:t>tempo</w:t>
      </w:r>
      <w:r>
        <w:rPr>
          <w:spacing w:val="36"/>
        </w:rPr>
        <w:t> </w:t>
      </w:r>
      <w:r>
        <w:rPr/>
        <w:t>determinato</w:t>
      </w:r>
      <w:r>
        <w:rPr>
          <w:spacing w:val="38"/>
        </w:rPr>
        <w:t> </w:t>
      </w:r>
      <w:r>
        <w:rPr/>
        <w:t>la</w:t>
      </w:r>
      <w:r>
        <w:rPr>
          <w:spacing w:val="34"/>
        </w:rPr>
        <w:t> </w:t>
      </w:r>
      <w:r>
        <w:rPr/>
        <w:t>possibilità</w:t>
      </w:r>
      <w:r>
        <w:rPr>
          <w:spacing w:val="34"/>
        </w:rPr>
        <w:t> </w:t>
      </w:r>
      <w:r>
        <w:rPr/>
        <w:t>di</w:t>
      </w:r>
      <w:r>
        <w:rPr>
          <w:spacing w:val="40"/>
        </w:rPr>
        <w:t> </w:t>
      </w:r>
      <w:r>
        <w:rPr/>
        <w:t>differire</w:t>
      </w:r>
      <w:r>
        <w:rPr>
          <w:spacing w:val="36"/>
        </w:rPr>
        <w:t> </w:t>
      </w:r>
      <w:r>
        <w:rPr/>
        <w:t>la</w:t>
      </w:r>
      <w:r>
        <w:rPr>
          <w:spacing w:val="34"/>
        </w:rPr>
        <w:t> </w:t>
      </w:r>
      <w:r>
        <w:rPr/>
        <w:t>presa</w:t>
      </w:r>
      <w:r>
        <w:rPr>
          <w:spacing w:val="41"/>
        </w:rPr>
        <w:t> </w:t>
      </w:r>
      <w:r>
        <w:rPr/>
        <w:t>di</w:t>
      </w:r>
      <w:r>
        <w:rPr>
          <w:spacing w:val="37"/>
        </w:rPr>
        <w:t> </w:t>
      </w:r>
      <w:r>
        <w:rPr/>
        <w:t>servizio</w:t>
      </w:r>
      <w:r>
        <w:rPr>
          <w:spacing w:val="37"/>
        </w:rPr>
        <w:t> </w:t>
      </w:r>
      <w:r>
        <w:rPr/>
        <w:t>per</w:t>
      </w:r>
      <w:r>
        <w:rPr>
          <w:spacing w:val="39"/>
        </w:rPr>
        <w:t> </w:t>
      </w:r>
      <w:r>
        <w:rPr/>
        <w:t>i</w:t>
      </w:r>
      <w:r>
        <w:rPr>
          <w:spacing w:val="-13"/>
        </w:rPr>
        <w:t> </w:t>
      </w:r>
      <w:r>
        <w:rPr>
          <w:spacing w:val="-4"/>
        </w:rPr>
        <w:t>casi</w:t>
      </w:r>
    </w:p>
    <w:p>
      <w:pPr>
        <w:pStyle w:val="BodyText"/>
        <w:spacing w:after="0" w:line="292" w:lineRule="exact"/>
        <w:jc w:val="both"/>
        <w:sectPr>
          <w:pgSz w:w="11910" w:h="16840"/>
          <w:pgMar w:top="1340" w:bottom="280" w:left="566" w:right="992"/>
        </w:sectPr>
      </w:pPr>
    </w:p>
    <w:p>
      <w:pPr>
        <w:pStyle w:val="BodyText"/>
        <w:spacing w:before="40"/>
        <w:ind w:right="2750"/>
      </w:pPr>
      <w:r>
        <w:rPr/>
        <w:t>contemplati</w:t>
      </w:r>
      <w:r>
        <w:rPr>
          <w:spacing w:val="-7"/>
        </w:rPr>
        <w:t> </w:t>
      </w:r>
      <w:r>
        <w:rPr/>
        <w:t>dalla</w:t>
      </w:r>
      <w:r>
        <w:rPr>
          <w:spacing w:val="-5"/>
        </w:rPr>
        <w:t> </w:t>
      </w:r>
      <w:r>
        <w:rPr/>
        <w:t>normativa</w:t>
      </w:r>
      <w:r>
        <w:rPr>
          <w:spacing w:val="-4"/>
        </w:rPr>
        <w:t> </w:t>
      </w:r>
      <w:r>
        <w:rPr/>
        <w:t>(es.</w:t>
      </w:r>
      <w:r>
        <w:rPr>
          <w:spacing w:val="-4"/>
        </w:rPr>
        <w:t> </w:t>
      </w:r>
      <w:r>
        <w:rPr/>
        <w:t>maternità,</w:t>
      </w:r>
      <w:r>
        <w:rPr>
          <w:spacing w:val="-6"/>
        </w:rPr>
        <w:t> </w:t>
      </w:r>
      <w:r>
        <w:rPr/>
        <w:t>malattia,</w:t>
      </w:r>
      <w:r>
        <w:rPr>
          <w:spacing w:val="-4"/>
        </w:rPr>
        <w:t> </w:t>
      </w:r>
      <w:r>
        <w:rPr/>
        <w:t>infortunio,</w:t>
      </w:r>
      <w:r>
        <w:rPr>
          <w:spacing w:val="-10"/>
        </w:rPr>
        <w:t> </w:t>
      </w:r>
      <w:r>
        <w:rPr/>
        <w:t>etc.). Non sono, invece, motivi di differimento della presa di servizio:</w:t>
      </w:r>
    </w:p>
    <w:p>
      <w:pPr>
        <w:pStyle w:val="ListParagraph"/>
        <w:numPr>
          <w:ilvl w:val="1"/>
          <w:numId w:val="1"/>
        </w:numPr>
        <w:tabs>
          <w:tab w:pos="1173" w:val="left" w:leader="none"/>
        </w:tabs>
        <w:spacing w:line="305" w:lineRule="exact" w:before="0" w:after="0"/>
        <w:ind w:left="1173" w:right="0" w:hanging="359"/>
        <w:jc w:val="both"/>
        <w:rPr>
          <w:sz w:val="24"/>
        </w:rPr>
      </w:pPr>
      <w:r>
        <w:rPr>
          <w:sz w:val="24"/>
        </w:rPr>
        <w:t>il</w:t>
      </w:r>
      <w:r>
        <w:rPr>
          <w:spacing w:val="-1"/>
          <w:sz w:val="24"/>
        </w:rPr>
        <w:t> </w:t>
      </w:r>
      <w:r>
        <w:rPr>
          <w:sz w:val="24"/>
        </w:rPr>
        <w:t>fatto</w:t>
      </w:r>
      <w:r>
        <w:rPr>
          <w:spacing w:val="-2"/>
          <w:sz w:val="24"/>
        </w:rPr>
        <w:t> </w:t>
      </w:r>
      <w:r>
        <w:rPr>
          <w:sz w:val="24"/>
        </w:rPr>
        <w:t>che il dipendente</w:t>
      </w:r>
      <w:r>
        <w:rPr>
          <w:spacing w:val="-2"/>
          <w:sz w:val="24"/>
        </w:rPr>
        <w:t> </w:t>
      </w:r>
      <w:r>
        <w:rPr>
          <w:sz w:val="24"/>
        </w:rPr>
        <w:t>stia svolgendo</w:t>
      </w:r>
      <w:r>
        <w:rPr>
          <w:spacing w:val="-2"/>
          <w:sz w:val="24"/>
        </w:rPr>
        <w:t> </w:t>
      </w:r>
      <w:r>
        <w:rPr>
          <w:sz w:val="24"/>
        </w:rPr>
        <w:t>un</w:t>
      </w:r>
      <w:r>
        <w:rPr>
          <w:spacing w:val="3"/>
          <w:sz w:val="24"/>
        </w:rPr>
        <w:t> </w:t>
      </w:r>
      <w:r>
        <w:rPr>
          <w:sz w:val="24"/>
        </w:rPr>
        <w:t>dottorato</w:t>
      </w:r>
      <w:r>
        <w:rPr>
          <w:spacing w:val="-2"/>
          <w:sz w:val="24"/>
        </w:rPr>
        <w:t> </w:t>
      </w:r>
      <w:r>
        <w:rPr>
          <w:sz w:val="24"/>
        </w:rPr>
        <w:t>di</w:t>
      </w:r>
      <w:r>
        <w:rPr>
          <w:spacing w:val="2"/>
          <w:sz w:val="24"/>
        </w:rPr>
        <w:t> </w:t>
      </w:r>
      <w:r>
        <w:rPr>
          <w:spacing w:val="-2"/>
          <w:sz w:val="24"/>
        </w:rPr>
        <w:t>ricerca.</w:t>
      </w:r>
    </w:p>
    <w:p>
      <w:pPr>
        <w:pStyle w:val="ListParagraph"/>
        <w:numPr>
          <w:ilvl w:val="1"/>
          <w:numId w:val="1"/>
        </w:numPr>
        <w:tabs>
          <w:tab w:pos="1174" w:val="left" w:leader="none"/>
        </w:tabs>
        <w:spacing w:line="240" w:lineRule="auto" w:before="4" w:after="0"/>
        <w:ind w:left="1174" w:right="16" w:hanging="360"/>
        <w:jc w:val="both"/>
        <w:rPr>
          <w:sz w:val="24"/>
        </w:rPr>
      </w:pPr>
      <w:r>
        <w:rPr>
          <w:sz w:val="24"/>
        </w:rPr>
        <w:t>la</w:t>
      </w:r>
      <w:r>
        <w:rPr>
          <w:spacing w:val="40"/>
          <w:sz w:val="24"/>
        </w:rPr>
        <w:t> </w:t>
      </w:r>
      <w:r>
        <w:rPr>
          <w:sz w:val="24"/>
        </w:rPr>
        <w:t>circostanza</w:t>
      </w:r>
      <w:r>
        <w:rPr>
          <w:spacing w:val="80"/>
          <w:sz w:val="24"/>
        </w:rPr>
        <w:t> </w:t>
      </w:r>
      <w:r>
        <w:rPr>
          <w:sz w:val="24"/>
        </w:rPr>
        <w:t>che</w:t>
      </w:r>
      <w:r>
        <w:rPr>
          <w:spacing w:val="80"/>
          <w:sz w:val="24"/>
        </w:rPr>
        <w:t> </w:t>
      </w:r>
      <w:r>
        <w:rPr>
          <w:sz w:val="24"/>
        </w:rPr>
        <w:t>il</w:t>
      </w:r>
      <w:r>
        <w:rPr>
          <w:spacing w:val="80"/>
          <w:sz w:val="24"/>
        </w:rPr>
        <w:t> </w:t>
      </w:r>
      <w:r>
        <w:rPr>
          <w:sz w:val="24"/>
        </w:rPr>
        <w:t>dipendente</w:t>
      </w:r>
      <w:r>
        <w:rPr>
          <w:spacing w:val="80"/>
          <w:sz w:val="24"/>
        </w:rPr>
        <w:t> </w:t>
      </w:r>
      <w:r>
        <w:rPr>
          <w:sz w:val="24"/>
        </w:rPr>
        <w:t>abbia</w:t>
      </w:r>
      <w:r>
        <w:rPr>
          <w:spacing w:val="80"/>
          <w:sz w:val="24"/>
        </w:rPr>
        <w:t> </w:t>
      </w:r>
      <w:r>
        <w:rPr>
          <w:sz w:val="24"/>
        </w:rPr>
        <w:t>bisogno</w:t>
      </w:r>
      <w:r>
        <w:rPr>
          <w:spacing w:val="80"/>
          <w:sz w:val="24"/>
        </w:rPr>
        <w:t> </w:t>
      </w:r>
      <w:r>
        <w:rPr>
          <w:sz w:val="24"/>
        </w:rPr>
        <w:t>di</w:t>
      </w:r>
      <w:r>
        <w:rPr>
          <w:spacing w:val="80"/>
          <w:sz w:val="24"/>
        </w:rPr>
        <w:t> </w:t>
      </w:r>
      <w:r>
        <w:rPr>
          <w:sz w:val="24"/>
        </w:rPr>
        <w:t>tempo</w:t>
      </w:r>
      <w:r>
        <w:rPr>
          <w:spacing w:val="80"/>
          <w:sz w:val="24"/>
        </w:rPr>
        <w:t> </w:t>
      </w:r>
      <w:r>
        <w:rPr>
          <w:sz w:val="24"/>
        </w:rPr>
        <w:t>per</w:t>
      </w:r>
      <w:r>
        <w:rPr>
          <w:spacing w:val="80"/>
          <w:sz w:val="24"/>
        </w:rPr>
        <w:t> </w:t>
      </w:r>
      <w:r>
        <w:rPr>
          <w:sz w:val="24"/>
        </w:rPr>
        <w:t>liberarsi</w:t>
      </w:r>
      <w:r>
        <w:rPr>
          <w:spacing w:val="80"/>
          <w:sz w:val="24"/>
        </w:rPr>
        <w:t> </w:t>
      </w:r>
      <w:r>
        <w:rPr>
          <w:sz w:val="24"/>
        </w:rPr>
        <w:t>da</w:t>
      </w:r>
      <w:r>
        <w:rPr>
          <w:spacing w:val="80"/>
          <w:sz w:val="24"/>
        </w:rPr>
        <w:t> </w:t>
      </w:r>
      <w:r>
        <w:rPr>
          <w:sz w:val="24"/>
        </w:rPr>
        <w:t>un precedente</w:t>
      </w:r>
      <w:r>
        <w:rPr>
          <w:spacing w:val="-9"/>
          <w:sz w:val="24"/>
        </w:rPr>
        <w:t> </w:t>
      </w:r>
      <w:r>
        <w:rPr>
          <w:sz w:val="24"/>
        </w:rPr>
        <w:t>impegno</w:t>
      </w:r>
      <w:r>
        <w:rPr>
          <w:spacing w:val="-9"/>
          <w:sz w:val="24"/>
        </w:rPr>
        <w:t> </w:t>
      </w:r>
      <w:r>
        <w:rPr>
          <w:sz w:val="24"/>
        </w:rPr>
        <w:t>lavorativo</w:t>
      </w:r>
      <w:r>
        <w:rPr>
          <w:spacing w:val="-7"/>
          <w:sz w:val="24"/>
        </w:rPr>
        <w:t> </w:t>
      </w:r>
      <w:r>
        <w:rPr>
          <w:sz w:val="24"/>
        </w:rPr>
        <w:t>incompatibile</w:t>
      </w:r>
      <w:r>
        <w:rPr>
          <w:spacing w:val="-7"/>
          <w:sz w:val="24"/>
        </w:rPr>
        <w:t> </w:t>
      </w:r>
      <w:r>
        <w:rPr>
          <w:sz w:val="24"/>
        </w:rPr>
        <w:t>con</w:t>
      </w:r>
      <w:r>
        <w:rPr>
          <w:spacing w:val="-7"/>
          <w:sz w:val="24"/>
        </w:rPr>
        <w:t> </w:t>
      </w:r>
      <w:r>
        <w:rPr>
          <w:sz w:val="24"/>
        </w:rPr>
        <w:t>l’assunzione</w:t>
      </w:r>
      <w:r>
        <w:rPr>
          <w:spacing w:val="-9"/>
          <w:sz w:val="24"/>
        </w:rPr>
        <w:t> </w:t>
      </w:r>
      <w:r>
        <w:rPr>
          <w:sz w:val="24"/>
        </w:rPr>
        <w:t>nel</w:t>
      </w:r>
      <w:r>
        <w:rPr>
          <w:spacing w:val="-4"/>
          <w:sz w:val="24"/>
        </w:rPr>
        <w:t> </w:t>
      </w:r>
      <w:r>
        <w:rPr>
          <w:sz w:val="24"/>
        </w:rPr>
        <w:t>pubblico</w:t>
      </w:r>
      <w:r>
        <w:rPr>
          <w:spacing w:val="-9"/>
          <w:sz w:val="24"/>
        </w:rPr>
        <w:t> </w:t>
      </w:r>
      <w:r>
        <w:rPr>
          <w:sz w:val="24"/>
        </w:rPr>
        <w:t>impiego.In questo caso l’interessato deve optare per uno dei due contratti, non potendo accettare il contratto nella scuola statale, in pendenza di altro rapporto di lavoro.</w:t>
      </w:r>
    </w:p>
    <w:p>
      <w:pPr>
        <w:pStyle w:val="BodyText"/>
        <w:spacing w:before="292"/>
      </w:pPr>
      <w:r>
        <w:rPr/>
        <w:t>Quest’ultimo</w:t>
      </w:r>
      <w:r>
        <w:rPr>
          <w:spacing w:val="-5"/>
        </w:rPr>
        <w:t> </w:t>
      </w:r>
      <w:r>
        <w:rPr/>
        <w:t>punto</w:t>
      </w:r>
      <w:r>
        <w:rPr>
          <w:spacing w:val="3"/>
        </w:rPr>
        <w:t> </w:t>
      </w:r>
      <w:r>
        <w:rPr/>
        <w:t>si</w:t>
      </w:r>
      <w:r>
        <w:rPr>
          <w:spacing w:val="-6"/>
        </w:rPr>
        <w:t> </w:t>
      </w:r>
      <w:r>
        <w:rPr/>
        <w:t>collega,</w:t>
      </w:r>
      <w:r>
        <w:rPr>
          <w:spacing w:val="3"/>
        </w:rPr>
        <w:t> </w:t>
      </w:r>
      <w:r>
        <w:rPr/>
        <w:t>appunto,</w:t>
      </w:r>
      <w:r>
        <w:rPr>
          <w:spacing w:val="-3"/>
        </w:rPr>
        <w:t> </w:t>
      </w:r>
      <w:r>
        <w:rPr/>
        <w:t>alla</w:t>
      </w:r>
      <w:r>
        <w:rPr>
          <w:spacing w:val="-4"/>
        </w:rPr>
        <w:t> </w:t>
      </w:r>
      <w:r>
        <w:rPr/>
        <w:t>questione</w:t>
      </w:r>
      <w:r>
        <w:rPr>
          <w:spacing w:val="1"/>
        </w:rPr>
        <w:t> </w:t>
      </w:r>
      <w:r>
        <w:rPr/>
        <w:t>dell’incompatibilità</w:t>
      </w:r>
      <w:r>
        <w:rPr>
          <w:spacing w:val="-2"/>
        </w:rPr>
        <w:t> </w:t>
      </w:r>
      <w:r>
        <w:rPr/>
        <w:t>con</w:t>
      </w:r>
      <w:r>
        <w:rPr>
          <w:spacing w:val="2"/>
        </w:rPr>
        <w:t> </w:t>
      </w:r>
      <w:r>
        <w:rPr/>
        <w:t>il</w:t>
      </w:r>
      <w:r>
        <w:rPr>
          <w:spacing w:val="-2"/>
        </w:rPr>
        <w:t> </w:t>
      </w:r>
      <w:r>
        <w:rPr/>
        <w:t>pubblico </w:t>
      </w:r>
      <w:r>
        <w:rPr>
          <w:spacing w:val="-2"/>
        </w:rPr>
        <w:t>impiego.</w:t>
      </w:r>
    </w:p>
    <w:p>
      <w:pPr>
        <w:pStyle w:val="BodyText"/>
        <w:spacing w:before="182"/>
        <w:ind w:left="0"/>
      </w:pPr>
    </w:p>
    <w:p>
      <w:pPr>
        <w:pStyle w:val="ListParagraph"/>
        <w:numPr>
          <w:ilvl w:val="0"/>
          <w:numId w:val="1"/>
        </w:numPr>
        <w:tabs>
          <w:tab w:pos="697" w:val="left" w:leader="none"/>
        </w:tabs>
        <w:spacing w:line="240" w:lineRule="auto" w:before="0" w:after="0"/>
        <w:ind w:left="454" w:right="17" w:firstLine="0"/>
        <w:jc w:val="left"/>
        <w:rPr>
          <w:sz w:val="24"/>
        </w:rPr>
      </w:pPr>
      <w:r>
        <w:rPr>
          <w:b/>
          <w:sz w:val="24"/>
        </w:rPr>
        <w:t>Quando si sottoscrive il contratto si deve essere liberi da precedenti rapporti dilavoro. </w:t>
      </w:r>
      <w:r>
        <w:rPr>
          <w:sz w:val="24"/>
        </w:rPr>
        <w:t>Situazione,</w:t>
      </w:r>
      <w:r>
        <w:rPr>
          <w:spacing w:val="77"/>
          <w:w w:val="150"/>
          <w:sz w:val="24"/>
        </w:rPr>
        <w:t> </w:t>
      </w:r>
      <w:r>
        <w:rPr>
          <w:sz w:val="24"/>
        </w:rPr>
        <w:t>questa,</w:t>
      </w:r>
      <w:r>
        <w:rPr>
          <w:spacing w:val="80"/>
          <w:sz w:val="24"/>
        </w:rPr>
        <w:t> </w:t>
      </w:r>
      <w:r>
        <w:rPr>
          <w:sz w:val="24"/>
        </w:rPr>
        <w:t>che,</w:t>
      </w:r>
      <w:r>
        <w:rPr>
          <w:spacing w:val="80"/>
          <w:sz w:val="24"/>
        </w:rPr>
        <w:t> </w:t>
      </w:r>
      <w:r>
        <w:rPr>
          <w:sz w:val="24"/>
        </w:rPr>
        <w:t>come</w:t>
      </w:r>
      <w:r>
        <w:rPr>
          <w:spacing w:val="77"/>
          <w:w w:val="150"/>
          <w:sz w:val="24"/>
        </w:rPr>
        <w:t> </w:t>
      </w:r>
      <w:r>
        <w:rPr>
          <w:sz w:val="24"/>
        </w:rPr>
        <w:t>detto</w:t>
      </w:r>
      <w:r>
        <w:rPr>
          <w:spacing w:val="80"/>
          <w:sz w:val="24"/>
        </w:rPr>
        <w:t> </w:t>
      </w:r>
      <w:r>
        <w:rPr>
          <w:sz w:val="24"/>
        </w:rPr>
        <w:t>sopra,</w:t>
      </w:r>
      <w:r>
        <w:rPr>
          <w:spacing w:val="80"/>
          <w:sz w:val="24"/>
        </w:rPr>
        <w:t> </w:t>
      </w:r>
      <w:r>
        <w:rPr>
          <w:sz w:val="24"/>
        </w:rPr>
        <w:t>viene</w:t>
      </w:r>
      <w:r>
        <w:rPr>
          <w:spacing w:val="80"/>
          <w:sz w:val="24"/>
        </w:rPr>
        <w:t> </w:t>
      </w:r>
      <w:r>
        <w:rPr>
          <w:sz w:val="24"/>
        </w:rPr>
        <w:t>richiesta</w:t>
      </w:r>
      <w:r>
        <w:rPr>
          <w:spacing w:val="80"/>
          <w:sz w:val="24"/>
        </w:rPr>
        <w:t> </w:t>
      </w:r>
      <w:r>
        <w:rPr>
          <w:sz w:val="24"/>
        </w:rPr>
        <w:t>al</w:t>
      </w:r>
      <w:r>
        <w:rPr>
          <w:spacing w:val="77"/>
          <w:w w:val="150"/>
          <w:sz w:val="24"/>
        </w:rPr>
        <w:t> </w:t>
      </w:r>
      <w:r>
        <w:rPr>
          <w:sz w:val="24"/>
        </w:rPr>
        <w:t>docente</w:t>
      </w:r>
      <w:r>
        <w:rPr>
          <w:spacing w:val="80"/>
          <w:sz w:val="24"/>
        </w:rPr>
        <w:t> </w:t>
      </w:r>
      <w:r>
        <w:rPr>
          <w:sz w:val="24"/>
        </w:rPr>
        <w:t>di</w:t>
      </w:r>
      <w:r>
        <w:rPr>
          <w:spacing w:val="80"/>
          <w:sz w:val="24"/>
        </w:rPr>
        <w:t> </w:t>
      </w:r>
      <w:r>
        <w:rPr>
          <w:sz w:val="24"/>
        </w:rPr>
        <w:t>attestare</w:t>
      </w:r>
      <w:r>
        <w:rPr>
          <w:spacing w:val="80"/>
          <w:sz w:val="24"/>
        </w:rPr>
        <w:t> </w:t>
      </w:r>
      <w:r>
        <w:rPr>
          <w:sz w:val="24"/>
        </w:rPr>
        <w:t>in</w:t>
      </w:r>
      <w:r>
        <w:rPr>
          <w:spacing w:val="80"/>
          <w:sz w:val="24"/>
        </w:rPr>
        <w:t> </w:t>
      </w:r>
      <w:r>
        <w:rPr>
          <w:sz w:val="24"/>
        </w:rPr>
        <w:t>una</w:t>
      </w:r>
      <w:r>
        <w:rPr>
          <w:spacing w:val="40"/>
          <w:sz w:val="24"/>
        </w:rPr>
        <w:t> </w:t>
      </w:r>
      <w:r>
        <w:rPr>
          <w:sz w:val="24"/>
        </w:rPr>
        <w:t>dichiarazione ad hoc</w:t>
      </w:r>
      <w:r>
        <w:rPr>
          <w:spacing w:val="-2"/>
          <w:sz w:val="24"/>
        </w:rPr>
        <w:t> </w:t>
      </w:r>
      <w:r>
        <w:rPr>
          <w:sz w:val="24"/>
        </w:rPr>
        <w:t>da</w:t>
      </w:r>
      <w:r>
        <w:rPr>
          <w:spacing w:val="-2"/>
          <w:sz w:val="24"/>
        </w:rPr>
        <w:t> </w:t>
      </w:r>
      <w:r>
        <w:rPr>
          <w:sz w:val="24"/>
        </w:rPr>
        <w:t>sottoscrivere al momento della</w:t>
      </w:r>
      <w:r>
        <w:rPr>
          <w:spacing w:val="-1"/>
          <w:sz w:val="24"/>
        </w:rPr>
        <w:t> </w:t>
      </w:r>
      <w:r>
        <w:rPr>
          <w:sz w:val="24"/>
        </w:rPr>
        <w:t>presa di servizio.</w:t>
      </w:r>
      <w:r>
        <w:rPr>
          <w:spacing w:val="-2"/>
          <w:sz w:val="24"/>
        </w:rPr>
        <w:t> </w:t>
      </w:r>
      <w:r>
        <w:rPr>
          <w:sz w:val="24"/>
        </w:rPr>
        <w:t>E’, infatti, con l’acquisizione dello status di pubblico</w:t>
      </w:r>
      <w:r>
        <w:rPr>
          <w:spacing w:val="-1"/>
          <w:sz w:val="24"/>
        </w:rPr>
        <w:t> </w:t>
      </w:r>
      <w:r>
        <w:rPr>
          <w:sz w:val="24"/>
        </w:rPr>
        <w:t>dipendente, e</w:t>
      </w:r>
      <w:r>
        <w:rPr>
          <w:spacing w:val="-2"/>
          <w:sz w:val="24"/>
        </w:rPr>
        <w:t> </w:t>
      </w:r>
      <w:r>
        <w:rPr>
          <w:sz w:val="24"/>
        </w:rPr>
        <w:t>dunque con la sottoscrizione del contratto, che</w:t>
      </w:r>
      <w:r>
        <w:rPr>
          <w:spacing w:val="-1"/>
          <w:sz w:val="24"/>
        </w:rPr>
        <w:t> </w:t>
      </w:r>
      <w:r>
        <w:rPr>
          <w:sz w:val="24"/>
        </w:rPr>
        <w:t>sorge il vincolo di esclusività a tutela del buon andamento dell’Amministrazione (art. 98</w:t>
      </w:r>
      <w:r>
        <w:rPr>
          <w:spacing w:val="-1"/>
          <w:sz w:val="24"/>
        </w:rPr>
        <w:t> </w:t>
      </w:r>
      <w:r>
        <w:rPr>
          <w:sz w:val="24"/>
        </w:rPr>
        <w:t>Cost.). In tale momento</w:t>
      </w:r>
      <w:r>
        <w:rPr>
          <w:spacing w:val="-1"/>
          <w:sz w:val="24"/>
        </w:rPr>
        <w:t> </w:t>
      </w:r>
      <w:r>
        <w:rPr>
          <w:sz w:val="24"/>
        </w:rPr>
        <w:t>non devono</w:t>
      </w:r>
      <w:r>
        <w:rPr>
          <w:spacing w:val="40"/>
          <w:sz w:val="24"/>
        </w:rPr>
        <w:t> </w:t>
      </w:r>
      <w:r>
        <w:rPr>
          <w:sz w:val="24"/>
        </w:rPr>
        <w:t>sussistere</w:t>
      </w:r>
      <w:r>
        <w:rPr>
          <w:spacing w:val="40"/>
          <w:sz w:val="24"/>
        </w:rPr>
        <w:t> </w:t>
      </w:r>
      <w:r>
        <w:rPr>
          <w:sz w:val="24"/>
        </w:rPr>
        <w:t>situazioni</w:t>
      </w:r>
      <w:r>
        <w:rPr>
          <w:spacing w:val="40"/>
          <w:sz w:val="24"/>
        </w:rPr>
        <w:t> </w:t>
      </w:r>
      <w:r>
        <w:rPr>
          <w:sz w:val="24"/>
        </w:rPr>
        <w:t>ostative</w:t>
      </w:r>
      <w:r>
        <w:rPr>
          <w:spacing w:val="40"/>
          <w:sz w:val="24"/>
        </w:rPr>
        <w:t> </w:t>
      </w:r>
      <w:r>
        <w:rPr>
          <w:sz w:val="24"/>
        </w:rPr>
        <w:t>la</w:t>
      </w:r>
      <w:r>
        <w:rPr>
          <w:spacing w:val="40"/>
          <w:sz w:val="24"/>
        </w:rPr>
        <w:t> </w:t>
      </w:r>
      <w:r>
        <w:rPr>
          <w:sz w:val="24"/>
        </w:rPr>
        <w:t>sottoscrizione</w:t>
      </w:r>
      <w:r>
        <w:rPr>
          <w:spacing w:val="40"/>
          <w:sz w:val="24"/>
        </w:rPr>
        <w:t> </w:t>
      </w:r>
      <w:r>
        <w:rPr>
          <w:sz w:val="24"/>
        </w:rPr>
        <w:t>del</w:t>
      </w:r>
      <w:r>
        <w:rPr>
          <w:spacing w:val="40"/>
          <w:sz w:val="24"/>
        </w:rPr>
        <w:t> </w:t>
      </w:r>
      <w:r>
        <w:rPr>
          <w:sz w:val="24"/>
        </w:rPr>
        <w:t>contratto</w:t>
      </w:r>
      <w:r>
        <w:rPr>
          <w:spacing w:val="40"/>
          <w:sz w:val="24"/>
        </w:rPr>
        <w:t> </w:t>
      </w:r>
      <w:r>
        <w:rPr>
          <w:sz w:val="24"/>
        </w:rPr>
        <w:t>di</w:t>
      </w:r>
      <w:r>
        <w:rPr>
          <w:spacing w:val="40"/>
          <w:sz w:val="24"/>
        </w:rPr>
        <w:t> </w:t>
      </w:r>
      <w:r>
        <w:rPr>
          <w:sz w:val="24"/>
        </w:rPr>
        <w:t>assunzione</w:t>
      </w:r>
      <w:r>
        <w:rPr>
          <w:spacing w:val="40"/>
          <w:sz w:val="24"/>
        </w:rPr>
        <w:t> </w:t>
      </w:r>
      <w:r>
        <w:rPr>
          <w:sz w:val="24"/>
        </w:rPr>
        <w:t>e,</w:t>
      </w:r>
      <w:r>
        <w:rPr>
          <w:spacing w:val="40"/>
          <w:sz w:val="24"/>
        </w:rPr>
        <w:t> </w:t>
      </w:r>
      <w:r>
        <w:rPr>
          <w:sz w:val="24"/>
        </w:rPr>
        <w:t>fra</w:t>
      </w:r>
      <w:r>
        <w:rPr>
          <w:spacing w:val="40"/>
          <w:sz w:val="24"/>
        </w:rPr>
        <w:t> </w:t>
      </w:r>
      <w:r>
        <w:rPr>
          <w:sz w:val="24"/>
        </w:rPr>
        <w:t>queste, l’esistenza di precedenti rapporti di impiego, siano essi di natura pubblica o privata. Alla luce di tale precisazione non potranno essere accolte eventuali richieste di differimento della presa di servizio</w:t>
      </w:r>
      <w:r>
        <w:rPr>
          <w:spacing w:val="80"/>
          <w:sz w:val="24"/>
        </w:rPr>
        <w:t> </w:t>
      </w:r>
      <w:r>
        <w:rPr>
          <w:sz w:val="24"/>
        </w:rPr>
        <w:t>finalizzate</w:t>
      </w:r>
      <w:r>
        <w:rPr>
          <w:spacing w:val="33"/>
          <w:sz w:val="24"/>
        </w:rPr>
        <w:t> </w:t>
      </w:r>
      <w:r>
        <w:rPr>
          <w:sz w:val="24"/>
        </w:rPr>
        <w:t>alla</w:t>
      </w:r>
      <w:r>
        <w:rPr>
          <w:spacing w:val="33"/>
          <w:sz w:val="24"/>
        </w:rPr>
        <w:t> </w:t>
      </w:r>
      <w:r>
        <w:rPr>
          <w:sz w:val="24"/>
        </w:rPr>
        <w:t>prosecuzione</w:t>
      </w:r>
      <w:r>
        <w:rPr>
          <w:spacing w:val="34"/>
          <w:sz w:val="24"/>
        </w:rPr>
        <w:t> </w:t>
      </w:r>
      <w:r>
        <w:rPr>
          <w:sz w:val="24"/>
        </w:rPr>
        <w:t>di</w:t>
      </w:r>
      <w:r>
        <w:rPr>
          <w:spacing w:val="33"/>
          <w:sz w:val="24"/>
        </w:rPr>
        <w:t> </w:t>
      </w:r>
      <w:r>
        <w:rPr>
          <w:sz w:val="24"/>
        </w:rPr>
        <w:t>altra</w:t>
      </w:r>
      <w:r>
        <w:rPr>
          <w:spacing w:val="36"/>
          <w:sz w:val="24"/>
        </w:rPr>
        <w:t> </w:t>
      </w:r>
      <w:r>
        <w:rPr>
          <w:sz w:val="24"/>
        </w:rPr>
        <w:t>attività</w:t>
      </w:r>
      <w:r>
        <w:rPr>
          <w:spacing w:val="36"/>
          <w:sz w:val="24"/>
        </w:rPr>
        <w:t> </w:t>
      </w:r>
      <w:r>
        <w:rPr>
          <w:sz w:val="24"/>
        </w:rPr>
        <w:t>lavorativa.</w:t>
      </w:r>
      <w:r>
        <w:rPr>
          <w:spacing w:val="33"/>
          <w:sz w:val="24"/>
        </w:rPr>
        <w:t> </w:t>
      </w:r>
      <w:r>
        <w:rPr>
          <w:sz w:val="24"/>
        </w:rPr>
        <w:t>Né</w:t>
      </w:r>
      <w:r>
        <w:rPr>
          <w:spacing w:val="33"/>
          <w:sz w:val="24"/>
        </w:rPr>
        <w:t> </w:t>
      </w:r>
      <w:r>
        <w:rPr>
          <w:sz w:val="24"/>
        </w:rPr>
        <w:t>tantomeno,</w:t>
      </w:r>
      <w:r>
        <w:rPr>
          <w:spacing w:val="33"/>
          <w:sz w:val="24"/>
        </w:rPr>
        <w:t> </w:t>
      </w:r>
      <w:r>
        <w:rPr>
          <w:sz w:val="24"/>
        </w:rPr>
        <w:t>in</w:t>
      </w:r>
      <w:r>
        <w:rPr>
          <w:spacing w:val="33"/>
          <w:sz w:val="24"/>
        </w:rPr>
        <w:t> </w:t>
      </w:r>
      <w:r>
        <w:rPr>
          <w:sz w:val="24"/>
        </w:rPr>
        <w:t>base</w:t>
      </w:r>
      <w:r>
        <w:rPr>
          <w:spacing w:val="31"/>
          <w:sz w:val="24"/>
        </w:rPr>
        <w:t> </w:t>
      </w:r>
      <w:r>
        <w:rPr>
          <w:sz w:val="24"/>
        </w:rPr>
        <w:t>agli</w:t>
      </w:r>
      <w:r>
        <w:rPr>
          <w:spacing w:val="33"/>
          <w:sz w:val="24"/>
        </w:rPr>
        <w:t> </w:t>
      </w:r>
      <w:r>
        <w:rPr>
          <w:sz w:val="24"/>
        </w:rPr>
        <w:t>stessi</w:t>
      </w:r>
      <w:r>
        <w:rPr>
          <w:spacing w:val="33"/>
          <w:sz w:val="24"/>
        </w:rPr>
        <w:t> </w:t>
      </w:r>
      <w:r>
        <w:rPr>
          <w:sz w:val="24"/>
        </w:rPr>
        <w:t>principi, potranno essere</w:t>
      </w:r>
      <w:r>
        <w:rPr>
          <w:spacing w:val="-1"/>
          <w:sz w:val="24"/>
        </w:rPr>
        <w:t> </w:t>
      </w:r>
      <w:r>
        <w:rPr>
          <w:sz w:val="24"/>
        </w:rPr>
        <w:t>accolte</w:t>
      </w:r>
      <w:r>
        <w:rPr>
          <w:spacing w:val="-4"/>
          <w:sz w:val="24"/>
        </w:rPr>
        <w:t> </w:t>
      </w:r>
      <w:r>
        <w:rPr>
          <w:sz w:val="24"/>
        </w:rPr>
        <w:t>richieste</w:t>
      </w:r>
      <w:r>
        <w:rPr>
          <w:spacing w:val="-1"/>
          <w:sz w:val="24"/>
        </w:rPr>
        <w:t> </w:t>
      </w:r>
      <w:r>
        <w:rPr>
          <w:sz w:val="24"/>
        </w:rPr>
        <w:t>di aspettativa</w:t>
      </w:r>
      <w:r>
        <w:rPr>
          <w:spacing w:val="-5"/>
          <w:sz w:val="24"/>
        </w:rPr>
        <w:t> </w:t>
      </w:r>
      <w:r>
        <w:rPr>
          <w:sz w:val="24"/>
        </w:rPr>
        <w:t>o di differimento</w:t>
      </w:r>
      <w:r>
        <w:rPr>
          <w:spacing w:val="-4"/>
          <w:sz w:val="24"/>
        </w:rPr>
        <w:t> </w:t>
      </w:r>
      <w:r>
        <w:rPr>
          <w:sz w:val="24"/>
        </w:rPr>
        <w:t>della</w:t>
      </w:r>
      <w:r>
        <w:rPr>
          <w:spacing w:val="-5"/>
          <w:sz w:val="24"/>
        </w:rPr>
        <w:t> </w:t>
      </w:r>
      <w:r>
        <w:rPr>
          <w:sz w:val="24"/>
        </w:rPr>
        <w:t>presa di</w:t>
      </w:r>
      <w:r>
        <w:rPr>
          <w:spacing w:val="-1"/>
          <w:sz w:val="24"/>
        </w:rPr>
        <w:t> </w:t>
      </w:r>
      <w:r>
        <w:rPr>
          <w:sz w:val="24"/>
        </w:rPr>
        <w:t>servizio che</w:t>
      </w:r>
      <w:r>
        <w:rPr>
          <w:spacing w:val="-2"/>
          <w:sz w:val="24"/>
        </w:rPr>
        <w:t> </w:t>
      </w:r>
      <w:r>
        <w:rPr>
          <w:sz w:val="24"/>
        </w:rPr>
        <w:t>trovino</w:t>
      </w:r>
      <w:r>
        <w:rPr>
          <w:spacing w:val="-1"/>
          <w:sz w:val="24"/>
        </w:rPr>
        <w:t> </w:t>
      </w:r>
      <w:r>
        <w:rPr>
          <w:sz w:val="24"/>
        </w:rPr>
        <w:t>la propria</w:t>
      </w:r>
      <w:r>
        <w:rPr>
          <w:spacing w:val="40"/>
          <w:sz w:val="24"/>
        </w:rPr>
        <w:t> </w:t>
      </w:r>
      <w:r>
        <w:rPr>
          <w:sz w:val="24"/>
        </w:rPr>
        <w:t>giustificazione</w:t>
      </w:r>
      <w:r>
        <w:rPr>
          <w:spacing w:val="40"/>
          <w:sz w:val="24"/>
        </w:rPr>
        <w:t> </w:t>
      </w:r>
      <w:r>
        <w:rPr>
          <w:sz w:val="24"/>
        </w:rPr>
        <w:t>nella</w:t>
      </w:r>
      <w:r>
        <w:rPr>
          <w:spacing w:val="40"/>
          <w:sz w:val="24"/>
        </w:rPr>
        <w:t> </w:t>
      </w:r>
      <w:r>
        <w:rPr>
          <w:sz w:val="24"/>
        </w:rPr>
        <w:t>sussistenza</w:t>
      </w:r>
      <w:r>
        <w:rPr>
          <w:spacing w:val="40"/>
          <w:sz w:val="24"/>
        </w:rPr>
        <w:t> </w:t>
      </w:r>
      <w:r>
        <w:rPr>
          <w:sz w:val="24"/>
        </w:rPr>
        <w:t>di</w:t>
      </w:r>
      <w:r>
        <w:rPr>
          <w:spacing w:val="40"/>
          <w:sz w:val="24"/>
        </w:rPr>
        <w:t> </w:t>
      </w:r>
      <w:r>
        <w:rPr>
          <w:sz w:val="24"/>
        </w:rPr>
        <w:t>un</w:t>
      </w:r>
      <w:r>
        <w:rPr>
          <w:spacing w:val="40"/>
          <w:sz w:val="24"/>
        </w:rPr>
        <w:t> </w:t>
      </w:r>
      <w:r>
        <w:rPr>
          <w:sz w:val="24"/>
        </w:rPr>
        <w:t>precedente</w:t>
      </w:r>
      <w:r>
        <w:rPr>
          <w:spacing w:val="40"/>
          <w:sz w:val="24"/>
        </w:rPr>
        <w:t> </w:t>
      </w:r>
      <w:r>
        <w:rPr>
          <w:sz w:val="24"/>
        </w:rPr>
        <w:t>rapporto</w:t>
      </w:r>
      <w:r>
        <w:rPr>
          <w:spacing w:val="40"/>
          <w:sz w:val="24"/>
        </w:rPr>
        <w:t> </w:t>
      </w:r>
      <w:r>
        <w:rPr>
          <w:sz w:val="24"/>
        </w:rPr>
        <w:t>di</w:t>
      </w:r>
      <w:r>
        <w:rPr>
          <w:spacing w:val="40"/>
          <w:sz w:val="24"/>
        </w:rPr>
        <w:t> </w:t>
      </w:r>
      <w:r>
        <w:rPr>
          <w:sz w:val="24"/>
        </w:rPr>
        <w:t>impiego.</w:t>
      </w:r>
      <w:r>
        <w:rPr>
          <w:spacing w:val="40"/>
          <w:sz w:val="24"/>
        </w:rPr>
        <w:t> </w:t>
      </w:r>
      <w:r>
        <w:rPr>
          <w:sz w:val="24"/>
        </w:rPr>
        <w:t>Diverso</w:t>
      </w:r>
      <w:r>
        <w:rPr>
          <w:spacing w:val="40"/>
          <w:sz w:val="24"/>
        </w:rPr>
        <w:t> </w:t>
      </w:r>
      <w:r>
        <w:rPr>
          <w:sz w:val="24"/>
        </w:rPr>
        <w:t>è</w:t>
      </w:r>
      <w:r>
        <w:rPr>
          <w:spacing w:val="40"/>
          <w:sz w:val="24"/>
        </w:rPr>
        <w:t> </w:t>
      </w:r>
      <w:r>
        <w:rPr>
          <w:sz w:val="24"/>
        </w:rPr>
        <w:t>il</w:t>
      </w:r>
      <w:r>
        <w:rPr>
          <w:spacing w:val="40"/>
          <w:sz w:val="24"/>
        </w:rPr>
        <w:t> </w:t>
      </w:r>
      <w:r>
        <w:rPr>
          <w:sz w:val="24"/>
        </w:rPr>
        <w:t>caso dell’aspettativa per motivi di lavoro che il Dirigente scolasticopuò, a domanda, concedere nel corso del rapporto di lavoro già perfettamente costituito conil personale docente/ATA.</w:t>
      </w:r>
    </w:p>
    <w:p>
      <w:pPr>
        <w:pStyle w:val="BodyText"/>
        <w:ind w:left="0"/>
      </w:pPr>
    </w:p>
    <w:p>
      <w:pPr>
        <w:pStyle w:val="BodyText"/>
        <w:spacing w:before="48"/>
        <w:ind w:left="0"/>
      </w:pPr>
    </w:p>
    <w:p>
      <w:pPr>
        <w:pStyle w:val="Heading1"/>
        <w:numPr>
          <w:ilvl w:val="0"/>
          <w:numId w:val="1"/>
        </w:numPr>
        <w:tabs>
          <w:tab w:pos="746" w:val="left" w:leader="none"/>
        </w:tabs>
        <w:spacing w:line="240" w:lineRule="auto" w:before="0" w:after="0"/>
        <w:ind w:left="746" w:right="0" w:hanging="240"/>
        <w:jc w:val="both"/>
      </w:pPr>
      <w:r>
        <w:rPr/>
        <w:t>Situazioni</w:t>
      </w:r>
      <w:r>
        <w:rPr>
          <w:spacing w:val="-7"/>
        </w:rPr>
        <w:t> </w:t>
      </w:r>
      <w:r>
        <w:rPr/>
        <w:t>di</w:t>
      </w:r>
      <w:r>
        <w:rPr>
          <w:spacing w:val="-4"/>
        </w:rPr>
        <w:t> </w:t>
      </w:r>
      <w:r>
        <w:rPr/>
        <w:t>incompatibilità/mancata</w:t>
      </w:r>
      <w:r>
        <w:rPr>
          <w:spacing w:val="-5"/>
        </w:rPr>
        <w:t> </w:t>
      </w:r>
      <w:r>
        <w:rPr/>
        <w:t>presa</w:t>
      </w:r>
      <w:r>
        <w:rPr>
          <w:spacing w:val="-6"/>
        </w:rPr>
        <w:t> </w:t>
      </w:r>
      <w:r>
        <w:rPr/>
        <w:t>di</w:t>
      </w:r>
      <w:r>
        <w:rPr>
          <w:spacing w:val="-4"/>
        </w:rPr>
        <w:t> </w:t>
      </w:r>
      <w:r>
        <w:rPr>
          <w:spacing w:val="-2"/>
        </w:rPr>
        <w:t>servizio.</w:t>
      </w:r>
    </w:p>
    <w:p>
      <w:pPr>
        <w:pStyle w:val="BodyText"/>
        <w:ind w:right="18"/>
        <w:jc w:val="both"/>
      </w:pPr>
      <w:r>
        <w:rPr/>
        <w:t>Lo strumento per superare la situazione di incompatibilità dovuta alla sussistenza di un precedente rapporto di impiego al momento dell’assunzione non può essere rappresentato né dall’istituto dell’aspettativa</w:t>
      </w:r>
      <w:r>
        <w:rPr>
          <w:spacing w:val="-1"/>
        </w:rPr>
        <w:t> </w:t>
      </w:r>
      <w:r>
        <w:rPr/>
        <w:t>né da</w:t>
      </w:r>
      <w:r>
        <w:rPr>
          <w:spacing w:val="-2"/>
        </w:rPr>
        <w:t> </w:t>
      </w:r>
      <w:r>
        <w:rPr/>
        <w:t>quello del</w:t>
      </w:r>
      <w:r>
        <w:rPr>
          <w:spacing w:val="-5"/>
        </w:rPr>
        <w:t> </w:t>
      </w:r>
      <w:r>
        <w:rPr/>
        <w:t>differimento della presa</w:t>
      </w:r>
      <w:r>
        <w:rPr>
          <w:spacing w:val="-2"/>
        </w:rPr>
        <w:t> </w:t>
      </w:r>
      <w:r>
        <w:rPr/>
        <w:t>di servizio. Obbligodella</w:t>
      </w:r>
      <w:r>
        <w:rPr>
          <w:spacing w:val="-5"/>
        </w:rPr>
        <w:t> </w:t>
      </w:r>
      <w:r>
        <w:rPr/>
        <w:t>Dirigente</w:t>
      </w:r>
      <w:r>
        <w:rPr>
          <w:spacing w:val="-2"/>
        </w:rPr>
        <w:t> </w:t>
      </w:r>
      <w:r>
        <w:rPr/>
        <w:t>scolastica sarà piuttosto quello di</w:t>
      </w:r>
      <w:r>
        <w:rPr>
          <w:spacing w:val="-1"/>
        </w:rPr>
        <w:t> </w:t>
      </w:r>
      <w:r>
        <w:rPr/>
        <w:t>diffidare il docente a cessare</w:t>
      </w:r>
      <w:r>
        <w:rPr>
          <w:spacing w:val="-1"/>
        </w:rPr>
        <w:t> </w:t>
      </w:r>
      <w:r>
        <w:rPr/>
        <w:t>dalla situazionedi illegittimità entro 15 giorni ai fini della valida costituzione del rapporto di impiego. In relazione alla presa di servizio si richiama, infine, la recente Ordinanza della Corte di Cassazione n. 15365 del 6 giugno 2019, secondo la quale “premesso che il ricorrente era giàin servizio come docente presso l’Amministrazione Scolastica fin dall’anno scolastico precedente, è evidente che la mancata presentazione presso l’Istituto scolastico ove egli era</w:t>
      </w:r>
      <w:r>
        <w:rPr>
          <w:spacing w:val="-14"/>
        </w:rPr>
        <w:t> </w:t>
      </w:r>
      <w:r>
        <w:rPr/>
        <w:t>stato assegnato per il successivo anno, per quanto anch’essa indicata dalle parti come presadi servizio, abbia la consistenza propria dell’assenza, in esito al disposto trasferimento di sede</w:t>
      </w:r>
      <w:r>
        <w:rPr>
          <w:spacing w:val="40"/>
        </w:rPr>
        <w:t> </w:t>
      </w:r>
      <w:r>
        <w:rPr/>
        <w:t>di lavoro, come in effetti infine affermato nell’atto di licenziamento quale riportato nello stesso ricorso per cassazione; è poi immune da censure di diritto, oltre che di assoluta evidenza, l’affermazione della</w:t>
      </w:r>
      <w:r>
        <w:rPr>
          <w:spacing w:val="-1"/>
        </w:rPr>
        <w:t> </w:t>
      </w:r>
      <w:r>
        <w:rPr/>
        <w:t>Corte</w:t>
      </w:r>
      <w:r>
        <w:rPr>
          <w:spacing w:val="-1"/>
        </w:rPr>
        <w:t> </w:t>
      </w:r>
      <w:r>
        <w:rPr/>
        <w:t>territoriale</w:t>
      </w:r>
      <w:r>
        <w:rPr>
          <w:spacing w:val="-1"/>
        </w:rPr>
        <w:t> </w:t>
      </w:r>
      <w:r>
        <w:rPr/>
        <w:t>secondo</w:t>
      </w:r>
      <w:r>
        <w:rPr>
          <w:spacing w:val="-1"/>
        </w:rPr>
        <w:t> </w:t>
      </w:r>
      <w:r>
        <w:rPr/>
        <w:t>cui</w:t>
      </w:r>
      <w:r>
        <w:rPr>
          <w:spacing w:val="-4"/>
        </w:rPr>
        <w:t> </w:t>
      </w:r>
      <w:r>
        <w:rPr/>
        <w:t>il</w:t>
      </w:r>
      <w:r>
        <w:rPr>
          <w:spacing w:val="-1"/>
        </w:rPr>
        <w:t> </w:t>
      </w:r>
      <w:r>
        <w:rPr/>
        <w:t>docente</w:t>
      </w:r>
      <w:r>
        <w:rPr>
          <w:spacing w:val="-1"/>
        </w:rPr>
        <w:t> </w:t>
      </w:r>
      <w:r>
        <w:rPr/>
        <w:t>era</w:t>
      </w:r>
      <w:r>
        <w:rPr>
          <w:spacing w:val="-1"/>
        </w:rPr>
        <w:t> </w:t>
      </w:r>
      <w:r>
        <w:rPr/>
        <w:t>tenuto</w:t>
      </w:r>
      <w:r>
        <w:rPr>
          <w:spacing w:val="-1"/>
        </w:rPr>
        <w:t> </w:t>
      </w:r>
      <w:r>
        <w:rPr/>
        <w:t>a</w:t>
      </w:r>
      <w:r>
        <w:rPr>
          <w:spacing w:val="-1"/>
        </w:rPr>
        <w:t> </w:t>
      </w:r>
      <w:r>
        <w:rPr/>
        <w:t>presentarsi</w:t>
      </w:r>
      <w:r>
        <w:rPr>
          <w:spacing w:val="-3"/>
        </w:rPr>
        <w:t> </w:t>
      </w:r>
      <w:r>
        <w:rPr/>
        <w:t>presso</w:t>
      </w:r>
      <w:r>
        <w:rPr>
          <w:spacing w:val="-3"/>
        </w:rPr>
        <w:t> </w:t>
      </w:r>
      <w:r>
        <w:rPr/>
        <w:t>la</w:t>
      </w:r>
      <w:r>
        <w:rPr>
          <w:spacing w:val="-3"/>
        </w:rPr>
        <w:t> </w:t>
      </w:r>
      <w:r>
        <w:rPr/>
        <w:t>nuova scuola alla quale era stato destinato, senza necessità che fosse quest’ultima a dovergli previamente comunicare i giorni di insegnamento”. Inoltre affermala Suprema Corte che “è palese che spetta al lavoratore mettersi a disposizione sul luogo di lavoro fin dal primo giorno in cui egli risulti ivi destinato e che non sia il datore di lavoro, dopo</w:t>
      </w:r>
      <w:r>
        <w:rPr>
          <w:spacing w:val="29"/>
        </w:rPr>
        <w:t> </w:t>
      </w:r>
      <w:r>
        <w:rPr/>
        <w:t>che</w:t>
      </w:r>
      <w:r>
        <w:rPr>
          <w:spacing w:val="30"/>
        </w:rPr>
        <w:t> </w:t>
      </w:r>
      <w:r>
        <w:rPr/>
        <w:t>già</w:t>
      </w:r>
      <w:r>
        <w:rPr>
          <w:spacing w:val="25"/>
        </w:rPr>
        <w:t> </w:t>
      </w:r>
      <w:r>
        <w:rPr/>
        <w:t>vi</w:t>
      </w:r>
      <w:r>
        <w:rPr>
          <w:spacing w:val="25"/>
        </w:rPr>
        <w:t> </w:t>
      </w:r>
      <w:r>
        <w:rPr/>
        <w:t>fosse</w:t>
      </w:r>
      <w:r>
        <w:rPr>
          <w:spacing w:val="28"/>
        </w:rPr>
        <w:t> </w:t>
      </w:r>
      <w:r>
        <w:rPr/>
        <w:t>stata</w:t>
      </w:r>
      <w:r>
        <w:rPr>
          <w:spacing w:val="25"/>
        </w:rPr>
        <w:t> </w:t>
      </w:r>
      <w:r>
        <w:rPr/>
        <w:t>formale</w:t>
      </w:r>
      <w:r>
        <w:rPr>
          <w:spacing w:val="27"/>
        </w:rPr>
        <w:t> </w:t>
      </w:r>
      <w:r>
        <w:rPr/>
        <w:t>fissazione</w:t>
      </w:r>
      <w:r>
        <w:rPr>
          <w:spacing w:val="27"/>
        </w:rPr>
        <w:t> </w:t>
      </w:r>
      <w:r>
        <w:rPr/>
        <w:t>della</w:t>
      </w:r>
      <w:r>
        <w:rPr>
          <w:spacing w:val="25"/>
        </w:rPr>
        <w:t> </w:t>
      </w:r>
      <w:r>
        <w:rPr/>
        <w:t>data di trasferimento, a dover previamente comunicare all’insegnante i giorni di insegnamento stabiliti dall’orario scolastico.” Le indicazioni della presente nota si applicano anche al personale ATA.</w:t>
      </w:r>
    </w:p>
    <w:p>
      <w:pPr>
        <w:pStyle w:val="BodyText"/>
        <w:ind w:left="0"/>
      </w:pPr>
    </w:p>
    <w:p>
      <w:pPr>
        <w:pStyle w:val="BodyText"/>
        <w:spacing w:before="183"/>
        <w:ind w:left="0"/>
      </w:pPr>
    </w:p>
    <w:p>
      <w:pPr>
        <w:pStyle w:val="Heading1"/>
        <w:numPr>
          <w:ilvl w:val="0"/>
          <w:numId w:val="1"/>
        </w:numPr>
        <w:tabs>
          <w:tab w:pos="694" w:val="left" w:leader="none"/>
        </w:tabs>
        <w:spacing w:line="240" w:lineRule="auto" w:before="0" w:after="0"/>
        <w:ind w:left="694" w:right="0" w:hanging="240"/>
        <w:jc w:val="both"/>
      </w:pPr>
      <w:r>
        <w:rPr/>
        <w:t>Dichiarazioni</w:t>
      </w:r>
      <w:r>
        <w:rPr>
          <w:spacing w:val="-4"/>
        </w:rPr>
        <w:t> </w:t>
      </w:r>
      <w:r>
        <w:rPr/>
        <w:t>non</w:t>
      </w:r>
      <w:r>
        <w:rPr>
          <w:spacing w:val="-2"/>
        </w:rPr>
        <w:t> veritiere</w:t>
      </w:r>
    </w:p>
    <w:p>
      <w:pPr>
        <w:pStyle w:val="BodyText"/>
        <w:spacing w:line="242" w:lineRule="auto"/>
        <w:ind w:right="19"/>
        <w:jc w:val="both"/>
      </w:pPr>
      <w:r>
        <w:rPr>
          <w:u w:val="single"/>
        </w:rPr>
        <w:t>All’atto della compilazione dei modelli di autocertificazione, si presti molta attenzione alle</w:t>
      </w:r>
      <w:r>
        <w:rPr/>
        <w:t> </w:t>
      </w:r>
      <w:r>
        <w:rPr>
          <w:u w:val="single"/>
        </w:rPr>
        <w:t>dichiarazioni</w:t>
      </w:r>
      <w:r>
        <w:rPr>
          <w:spacing w:val="15"/>
          <w:u w:val="single"/>
        </w:rPr>
        <w:t> </w:t>
      </w:r>
      <w:r>
        <w:rPr>
          <w:u w:val="single"/>
        </w:rPr>
        <w:t>rese</w:t>
      </w:r>
      <w:r>
        <w:rPr>
          <w:spacing w:val="13"/>
          <w:u w:val="single"/>
        </w:rPr>
        <w:t> </w:t>
      </w:r>
      <w:r>
        <w:rPr>
          <w:u w:val="single"/>
        </w:rPr>
        <w:t>e,</w:t>
      </w:r>
      <w:r>
        <w:rPr>
          <w:spacing w:val="18"/>
          <w:u w:val="single"/>
        </w:rPr>
        <w:t> </w:t>
      </w:r>
      <w:r>
        <w:rPr>
          <w:u w:val="single"/>
        </w:rPr>
        <w:t>in</w:t>
      </w:r>
      <w:r>
        <w:rPr>
          <w:spacing w:val="19"/>
          <w:u w:val="single"/>
        </w:rPr>
        <w:t> </w:t>
      </w:r>
      <w:r>
        <w:rPr>
          <w:u w:val="single"/>
        </w:rPr>
        <w:t>caso</w:t>
      </w:r>
      <w:r>
        <w:rPr>
          <w:spacing w:val="20"/>
          <w:u w:val="single"/>
        </w:rPr>
        <w:t> </w:t>
      </w:r>
      <w:r>
        <w:rPr>
          <w:u w:val="single"/>
        </w:rPr>
        <w:t>di</w:t>
      </w:r>
      <w:r>
        <w:rPr>
          <w:spacing w:val="15"/>
          <w:u w:val="single"/>
        </w:rPr>
        <w:t> </w:t>
      </w:r>
      <w:r>
        <w:rPr>
          <w:u w:val="single"/>
        </w:rPr>
        <w:t>dubbi,</w:t>
      </w:r>
      <w:r>
        <w:rPr>
          <w:spacing w:val="15"/>
          <w:u w:val="single"/>
        </w:rPr>
        <w:t> </w:t>
      </w:r>
      <w:r>
        <w:rPr>
          <w:u w:val="single"/>
        </w:rPr>
        <w:t>si</w:t>
      </w:r>
      <w:r>
        <w:rPr>
          <w:spacing w:val="18"/>
          <w:u w:val="single"/>
        </w:rPr>
        <w:t> </w:t>
      </w:r>
      <w:r>
        <w:rPr>
          <w:u w:val="single"/>
        </w:rPr>
        <w:t>chiedano</w:t>
      </w:r>
      <w:r>
        <w:rPr>
          <w:spacing w:val="19"/>
          <w:u w:val="single"/>
        </w:rPr>
        <w:t> </w:t>
      </w:r>
      <w:r>
        <w:rPr>
          <w:u w:val="single"/>
        </w:rPr>
        <w:t>delucidazioni</w:t>
      </w:r>
      <w:r>
        <w:rPr>
          <w:spacing w:val="18"/>
          <w:u w:val="single"/>
        </w:rPr>
        <w:t> </w:t>
      </w:r>
      <w:r>
        <w:rPr>
          <w:u w:val="single"/>
        </w:rPr>
        <w:t>all’Ufficio</w:t>
      </w:r>
      <w:r>
        <w:rPr>
          <w:spacing w:val="18"/>
          <w:u w:val="single"/>
        </w:rPr>
        <w:t> </w:t>
      </w:r>
      <w:r>
        <w:rPr>
          <w:u w:val="single"/>
        </w:rPr>
        <w:t>amministrativo</w:t>
      </w:r>
      <w:r>
        <w:rPr>
          <w:spacing w:val="18"/>
        </w:rPr>
        <w:t> </w:t>
      </w:r>
      <w:r>
        <w:rPr>
          <w:u w:val="single"/>
        </w:rPr>
        <w:t>addetto</w:t>
      </w:r>
      <w:r>
        <w:rPr>
          <w:spacing w:val="17"/>
          <w:u w:val="single"/>
        </w:rPr>
        <w:t> </w:t>
      </w:r>
      <w:r>
        <w:rPr>
          <w:spacing w:val="-5"/>
          <w:u w:val="single"/>
        </w:rPr>
        <w:t>al</w:t>
      </w:r>
    </w:p>
    <w:p>
      <w:pPr>
        <w:pStyle w:val="BodyText"/>
        <w:spacing w:after="0" w:line="242" w:lineRule="auto"/>
        <w:jc w:val="both"/>
        <w:sectPr>
          <w:pgSz w:w="11910" w:h="16840"/>
          <w:pgMar w:top="1340" w:bottom="0" w:left="566" w:right="992"/>
        </w:sectPr>
      </w:pPr>
    </w:p>
    <w:p>
      <w:pPr>
        <w:pStyle w:val="BodyText"/>
        <w:spacing w:before="40"/>
        <w:ind w:right="1469"/>
        <w:jc w:val="both"/>
      </w:pPr>
      <w:r>
        <w:rPr>
          <w:u w:val="single"/>
        </w:rPr>
        <w:t>personale.</w:t>
      </w:r>
      <w:r>
        <w:rPr>
          <w:spacing w:val="-4"/>
          <w:u w:val="single"/>
        </w:rPr>
        <w:t> </w:t>
      </w:r>
      <w:r>
        <w:rPr>
          <w:u w:val="single"/>
        </w:rPr>
        <w:t>Le</w:t>
      </w:r>
      <w:r>
        <w:rPr>
          <w:spacing w:val="-6"/>
          <w:u w:val="single"/>
        </w:rPr>
        <w:t> </w:t>
      </w:r>
      <w:r>
        <w:rPr>
          <w:u w:val="single"/>
        </w:rPr>
        <w:t>dichiarazioni</w:t>
      </w:r>
      <w:r>
        <w:rPr>
          <w:spacing w:val="-4"/>
          <w:u w:val="single"/>
        </w:rPr>
        <w:t> </w:t>
      </w:r>
      <w:r>
        <w:rPr>
          <w:u w:val="single"/>
        </w:rPr>
        <w:t>non</w:t>
      </w:r>
      <w:r>
        <w:rPr>
          <w:spacing w:val="-1"/>
          <w:u w:val="single"/>
        </w:rPr>
        <w:t> </w:t>
      </w:r>
      <w:r>
        <w:rPr>
          <w:u w:val="single"/>
        </w:rPr>
        <w:t>veritiere</w:t>
      </w:r>
      <w:r>
        <w:rPr>
          <w:spacing w:val="-4"/>
          <w:u w:val="single"/>
        </w:rPr>
        <w:t> </w:t>
      </w:r>
      <w:r>
        <w:rPr>
          <w:u w:val="single"/>
        </w:rPr>
        <w:t>comportano</w:t>
      </w:r>
      <w:r>
        <w:rPr>
          <w:spacing w:val="-1"/>
          <w:u w:val="single"/>
        </w:rPr>
        <w:t> </w:t>
      </w:r>
      <w:r>
        <w:rPr>
          <w:u w:val="single"/>
        </w:rPr>
        <w:t>conseguenze</w:t>
      </w:r>
      <w:r>
        <w:rPr>
          <w:spacing w:val="-1"/>
          <w:u w:val="single"/>
        </w:rPr>
        <w:t> </w:t>
      </w:r>
      <w:r>
        <w:rPr>
          <w:u w:val="single"/>
        </w:rPr>
        <w:t>di</w:t>
      </w:r>
      <w:r>
        <w:rPr>
          <w:spacing w:val="-7"/>
          <w:u w:val="single"/>
        </w:rPr>
        <w:t> </w:t>
      </w:r>
      <w:r>
        <w:rPr>
          <w:u w:val="single"/>
        </w:rPr>
        <w:t>rilevanza</w:t>
      </w:r>
      <w:r>
        <w:rPr>
          <w:spacing w:val="-3"/>
          <w:u w:val="single"/>
        </w:rPr>
        <w:t> </w:t>
      </w:r>
      <w:r>
        <w:rPr>
          <w:u w:val="single"/>
        </w:rPr>
        <w:t>penale.</w:t>
      </w:r>
      <w:r>
        <w:rPr/>
        <w:t> Ai sensi dell’art. 76 DPR 445 del 2000: “</w:t>
      </w:r>
    </w:p>
    <w:p>
      <w:pPr>
        <w:pStyle w:val="ListParagraph"/>
        <w:numPr>
          <w:ilvl w:val="0"/>
          <w:numId w:val="3"/>
        </w:numPr>
        <w:tabs>
          <w:tab w:pos="454" w:val="left" w:leader="none"/>
        </w:tabs>
        <w:spacing w:line="237" w:lineRule="auto" w:before="2" w:after="0"/>
        <w:ind w:left="454" w:right="20" w:hanging="360"/>
        <w:jc w:val="both"/>
        <w:rPr>
          <w:sz w:val="24"/>
        </w:rPr>
      </w:pPr>
      <w:r>
        <w:rPr>
          <w:sz w:val="24"/>
        </w:rPr>
        <w:t>Chiunque rilascia dichiarazioni mendaci, forma atti falsi o ne fa uso nei casi previsti dal presente</w:t>
      </w:r>
      <w:r>
        <w:rPr>
          <w:spacing w:val="80"/>
          <w:sz w:val="24"/>
        </w:rPr>
        <w:t> </w:t>
      </w:r>
      <w:r>
        <w:rPr>
          <w:sz w:val="24"/>
        </w:rPr>
        <w:t>testo unico è punito ai sensi del codice penale e delle leggi speciali in materia. La sanzione ordinariamente prevista dal codice penale è aumentata da un terzo alla metà. (comma così modificato</w:t>
      </w:r>
      <w:r>
        <w:rPr>
          <w:spacing w:val="40"/>
          <w:sz w:val="24"/>
        </w:rPr>
        <w:t> </w:t>
      </w:r>
      <w:r>
        <w:rPr>
          <w:sz w:val="24"/>
        </w:rPr>
        <w:t>dall'art.</w:t>
      </w:r>
      <w:r>
        <w:rPr>
          <w:spacing w:val="40"/>
          <w:sz w:val="24"/>
        </w:rPr>
        <w:t> </w:t>
      </w:r>
      <w:r>
        <w:rPr>
          <w:sz w:val="24"/>
        </w:rPr>
        <w:t>264,</w:t>
      </w:r>
      <w:r>
        <w:rPr>
          <w:spacing w:val="40"/>
          <w:sz w:val="24"/>
        </w:rPr>
        <w:t> </w:t>
      </w:r>
      <w:r>
        <w:rPr>
          <w:sz w:val="24"/>
        </w:rPr>
        <w:t>comma</w:t>
      </w:r>
      <w:r>
        <w:rPr>
          <w:spacing w:val="40"/>
          <w:sz w:val="24"/>
        </w:rPr>
        <w:t> </w:t>
      </w:r>
      <w:r>
        <w:rPr>
          <w:sz w:val="24"/>
        </w:rPr>
        <w:t>2,</w:t>
      </w:r>
      <w:r>
        <w:rPr>
          <w:spacing w:val="40"/>
          <w:sz w:val="24"/>
        </w:rPr>
        <w:t> </w:t>
      </w:r>
      <w:r>
        <w:rPr>
          <w:sz w:val="24"/>
        </w:rPr>
        <w:t>lettera</w:t>
      </w:r>
      <w:r>
        <w:rPr>
          <w:spacing w:val="40"/>
          <w:sz w:val="24"/>
        </w:rPr>
        <w:t> </w:t>
      </w:r>
      <w:r>
        <w:rPr>
          <w:sz w:val="24"/>
        </w:rPr>
        <w:t>a),</w:t>
      </w:r>
      <w:r>
        <w:rPr>
          <w:spacing w:val="40"/>
          <w:sz w:val="24"/>
        </w:rPr>
        <w:t> </w:t>
      </w:r>
      <w:r>
        <w:rPr>
          <w:sz w:val="24"/>
        </w:rPr>
        <w:t>legge</w:t>
      </w:r>
      <w:r>
        <w:rPr>
          <w:spacing w:val="40"/>
          <w:sz w:val="24"/>
        </w:rPr>
        <w:t> </w:t>
      </w:r>
      <w:r>
        <w:rPr>
          <w:sz w:val="24"/>
        </w:rPr>
        <w:t>n.</w:t>
      </w:r>
      <w:r>
        <w:rPr>
          <w:spacing w:val="40"/>
          <w:sz w:val="24"/>
        </w:rPr>
        <w:t> </w:t>
      </w:r>
      <w:r>
        <w:rPr>
          <w:sz w:val="24"/>
        </w:rPr>
        <w:t>77</w:t>
      </w:r>
      <w:r>
        <w:rPr>
          <w:spacing w:val="40"/>
          <w:sz w:val="24"/>
        </w:rPr>
        <w:t> </w:t>
      </w:r>
      <w:r>
        <w:rPr>
          <w:sz w:val="24"/>
        </w:rPr>
        <w:t>del</w:t>
      </w:r>
      <w:r>
        <w:rPr>
          <w:spacing w:val="40"/>
          <w:sz w:val="24"/>
        </w:rPr>
        <w:t> </w:t>
      </w:r>
      <w:r>
        <w:rPr>
          <w:sz w:val="24"/>
        </w:rPr>
        <w:t>2020).</w:t>
      </w:r>
    </w:p>
    <w:p>
      <w:pPr>
        <w:pStyle w:val="ListParagraph"/>
        <w:numPr>
          <w:ilvl w:val="0"/>
          <w:numId w:val="3"/>
        </w:numPr>
        <w:tabs>
          <w:tab w:pos="453" w:val="left" w:leader="none"/>
        </w:tabs>
        <w:spacing w:line="285" w:lineRule="exact" w:before="0" w:after="0"/>
        <w:ind w:left="453" w:right="0" w:hanging="360"/>
        <w:jc w:val="both"/>
        <w:rPr>
          <w:sz w:val="24"/>
        </w:rPr>
      </w:pPr>
      <w:r>
        <w:rPr>
          <w:sz w:val="24"/>
        </w:rPr>
        <w:t>L'esibizione di</w:t>
      </w:r>
      <w:r>
        <w:rPr>
          <w:spacing w:val="-2"/>
          <w:sz w:val="24"/>
        </w:rPr>
        <w:t> </w:t>
      </w:r>
      <w:r>
        <w:rPr>
          <w:sz w:val="24"/>
        </w:rPr>
        <w:t>un atto contenente</w:t>
      </w:r>
      <w:r>
        <w:rPr>
          <w:spacing w:val="-2"/>
          <w:sz w:val="24"/>
        </w:rPr>
        <w:t> </w:t>
      </w:r>
      <w:r>
        <w:rPr>
          <w:sz w:val="24"/>
        </w:rPr>
        <w:t>dati non</w:t>
      </w:r>
      <w:r>
        <w:rPr>
          <w:spacing w:val="-2"/>
          <w:sz w:val="24"/>
        </w:rPr>
        <w:t> </w:t>
      </w:r>
      <w:r>
        <w:rPr>
          <w:sz w:val="24"/>
        </w:rPr>
        <w:t>più rispondenti</w:t>
      </w:r>
      <w:r>
        <w:rPr>
          <w:spacing w:val="-1"/>
          <w:sz w:val="24"/>
        </w:rPr>
        <w:t> </w:t>
      </w:r>
      <w:r>
        <w:rPr>
          <w:sz w:val="24"/>
        </w:rPr>
        <w:t>a</w:t>
      </w:r>
      <w:r>
        <w:rPr>
          <w:spacing w:val="-3"/>
          <w:sz w:val="24"/>
        </w:rPr>
        <w:t> </w:t>
      </w:r>
      <w:r>
        <w:rPr>
          <w:sz w:val="24"/>
        </w:rPr>
        <w:t>verità equivale ad</w:t>
      </w:r>
      <w:r>
        <w:rPr>
          <w:spacing w:val="-2"/>
          <w:sz w:val="24"/>
        </w:rPr>
        <w:t> </w:t>
      </w:r>
      <w:r>
        <w:rPr>
          <w:sz w:val="24"/>
        </w:rPr>
        <w:t>uso</w:t>
      </w:r>
      <w:r>
        <w:rPr>
          <w:spacing w:val="-2"/>
          <w:sz w:val="24"/>
        </w:rPr>
        <w:t> </w:t>
      </w:r>
      <w:r>
        <w:rPr>
          <w:sz w:val="24"/>
        </w:rPr>
        <w:t>di</w:t>
      </w:r>
      <w:r>
        <w:rPr>
          <w:spacing w:val="1"/>
          <w:sz w:val="24"/>
        </w:rPr>
        <w:t> </w:t>
      </w:r>
      <w:r>
        <w:rPr>
          <w:sz w:val="24"/>
        </w:rPr>
        <w:t>atto </w:t>
      </w:r>
      <w:r>
        <w:rPr>
          <w:spacing w:val="-2"/>
          <w:sz w:val="24"/>
        </w:rPr>
        <w:t>falso.</w:t>
      </w:r>
    </w:p>
    <w:p>
      <w:pPr>
        <w:pStyle w:val="ListParagraph"/>
        <w:numPr>
          <w:ilvl w:val="0"/>
          <w:numId w:val="3"/>
        </w:numPr>
        <w:tabs>
          <w:tab w:pos="454" w:val="left" w:leader="none"/>
        </w:tabs>
        <w:spacing w:line="237" w:lineRule="auto" w:before="2" w:after="0"/>
        <w:ind w:left="454" w:right="20" w:hanging="360"/>
        <w:jc w:val="both"/>
        <w:rPr>
          <w:sz w:val="24"/>
        </w:rPr>
      </w:pPr>
      <w:r>
        <w:rPr>
          <w:sz w:val="24"/>
        </w:rPr>
        <w:t>Le dichiarazioni sostitutive rese ai sensi degli articoli 46 e 47 e le dichiarazioni rese per conto</w:t>
      </w:r>
      <w:r>
        <w:rPr>
          <w:spacing w:val="-14"/>
          <w:sz w:val="24"/>
        </w:rPr>
        <w:t> </w:t>
      </w:r>
      <w:r>
        <w:rPr>
          <w:sz w:val="24"/>
        </w:rPr>
        <w:t>delle persone indicate nell'articolo 4, comma 2, sono considerate come fatte a pubblico ufficiale.</w:t>
      </w:r>
    </w:p>
    <w:p>
      <w:pPr>
        <w:pStyle w:val="ListParagraph"/>
        <w:numPr>
          <w:ilvl w:val="0"/>
          <w:numId w:val="3"/>
        </w:numPr>
        <w:tabs>
          <w:tab w:pos="454" w:val="left" w:leader="none"/>
        </w:tabs>
        <w:spacing w:line="237" w:lineRule="auto" w:before="1" w:after="0"/>
        <w:ind w:left="454" w:right="20" w:hanging="360"/>
        <w:jc w:val="both"/>
        <w:rPr>
          <w:sz w:val="24"/>
        </w:rPr>
      </w:pPr>
      <w:r>
        <w:rPr>
          <w:sz w:val="24"/>
        </w:rPr>
        <w:t>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24"/>
        <w:ind w:left="0"/>
      </w:pPr>
    </w:p>
    <w:p>
      <w:pPr>
        <w:spacing w:before="1"/>
        <w:ind w:left="454" w:right="0" w:firstLine="0"/>
        <w:jc w:val="left"/>
        <w:rPr>
          <w:sz w:val="24"/>
        </w:rPr>
      </w:pPr>
      <w:r>
        <w:rPr>
          <w:spacing w:val="-10"/>
          <w:sz w:val="24"/>
        </w:rPr>
        <w:t>.</w:t>
      </w:r>
    </w:p>
    <w:sectPr>
      <w:pgSz w:w="11910" w:h="16840"/>
      <w:pgMar w:top="1340" w:bottom="280" w:left="566"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 w:name="Palatino Linotype">
    <w:altName w:val="Palatino Linotype"/>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54" w:hanging="360"/>
        <w:jc w:val="left"/>
      </w:pPr>
      <w:rPr>
        <w:rFonts w:hint="default" w:ascii="Calibri" w:hAnsi="Calibri" w:eastAsia="Calibri" w:cs="Calibri"/>
        <w:b w:val="0"/>
        <w:bCs w:val="0"/>
        <w:i w:val="0"/>
        <w:iCs w:val="0"/>
        <w:spacing w:val="0"/>
        <w:w w:val="100"/>
        <w:sz w:val="24"/>
        <w:szCs w:val="24"/>
        <w:lang w:val="it-IT" w:eastAsia="en-US" w:bidi="ar-SA"/>
      </w:rPr>
    </w:lvl>
    <w:lvl w:ilvl="1">
      <w:start w:val="0"/>
      <w:numFmt w:val="bullet"/>
      <w:lvlText w:val="•"/>
      <w:lvlJc w:val="left"/>
      <w:pPr>
        <w:ind w:left="1448" w:hanging="360"/>
      </w:pPr>
      <w:rPr>
        <w:rFonts w:hint="default"/>
        <w:lang w:val="it-IT" w:eastAsia="en-US" w:bidi="ar-SA"/>
      </w:rPr>
    </w:lvl>
    <w:lvl w:ilvl="2">
      <w:start w:val="0"/>
      <w:numFmt w:val="bullet"/>
      <w:lvlText w:val="•"/>
      <w:lvlJc w:val="left"/>
      <w:pPr>
        <w:ind w:left="2437" w:hanging="360"/>
      </w:pPr>
      <w:rPr>
        <w:rFonts w:hint="default"/>
        <w:lang w:val="it-IT" w:eastAsia="en-US" w:bidi="ar-SA"/>
      </w:rPr>
    </w:lvl>
    <w:lvl w:ilvl="3">
      <w:start w:val="0"/>
      <w:numFmt w:val="bullet"/>
      <w:lvlText w:val="•"/>
      <w:lvlJc w:val="left"/>
      <w:pPr>
        <w:ind w:left="3426" w:hanging="360"/>
      </w:pPr>
      <w:rPr>
        <w:rFonts w:hint="default"/>
        <w:lang w:val="it-IT" w:eastAsia="en-US" w:bidi="ar-SA"/>
      </w:rPr>
    </w:lvl>
    <w:lvl w:ilvl="4">
      <w:start w:val="0"/>
      <w:numFmt w:val="bullet"/>
      <w:lvlText w:val="•"/>
      <w:lvlJc w:val="left"/>
      <w:pPr>
        <w:ind w:left="4415" w:hanging="360"/>
      </w:pPr>
      <w:rPr>
        <w:rFonts w:hint="default"/>
        <w:lang w:val="it-IT" w:eastAsia="en-US" w:bidi="ar-SA"/>
      </w:rPr>
    </w:lvl>
    <w:lvl w:ilvl="5">
      <w:start w:val="0"/>
      <w:numFmt w:val="bullet"/>
      <w:lvlText w:val="•"/>
      <w:lvlJc w:val="left"/>
      <w:pPr>
        <w:ind w:left="5404" w:hanging="360"/>
      </w:pPr>
      <w:rPr>
        <w:rFonts w:hint="default"/>
        <w:lang w:val="it-IT" w:eastAsia="en-US" w:bidi="ar-SA"/>
      </w:rPr>
    </w:lvl>
    <w:lvl w:ilvl="6">
      <w:start w:val="0"/>
      <w:numFmt w:val="bullet"/>
      <w:lvlText w:val="•"/>
      <w:lvlJc w:val="left"/>
      <w:pPr>
        <w:ind w:left="6393" w:hanging="360"/>
      </w:pPr>
      <w:rPr>
        <w:rFonts w:hint="default"/>
        <w:lang w:val="it-IT" w:eastAsia="en-US" w:bidi="ar-SA"/>
      </w:rPr>
    </w:lvl>
    <w:lvl w:ilvl="7">
      <w:start w:val="0"/>
      <w:numFmt w:val="bullet"/>
      <w:lvlText w:val="•"/>
      <w:lvlJc w:val="left"/>
      <w:pPr>
        <w:ind w:left="7381" w:hanging="360"/>
      </w:pPr>
      <w:rPr>
        <w:rFonts w:hint="default"/>
        <w:lang w:val="it-IT" w:eastAsia="en-US" w:bidi="ar-SA"/>
      </w:rPr>
    </w:lvl>
    <w:lvl w:ilvl="8">
      <w:start w:val="0"/>
      <w:numFmt w:val="bullet"/>
      <w:lvlText w:val="•"/>
      <w:lvlJc w:val="left"/>
      <w:pPr>
        <w:ind w:left="8370" w:hanging="360"/>
      </w:pPr>
      <w:rPr>
        <w:rFonts w:hint="default"/>
        <w:lang w:val="it-IT" w:eastAsia="en-US" w:bidi="ar-SA"/>
      </w:rPr>
    </w:lvl>
  </w:abstractNum>
  <w:abstractNum w:abstractNumId="1">
    <w:multiLevelType w:val="hybridMultilevel"/>
    <w:lvl w:ilvl="0">
      <w:start w:val="0"/>
      <w:numFmt w:val="bullet"/>
      <w:lvlText w:val="•"/>
      <w:lvlJc w:val="left"/>
      <w:pPr>
        <w:ind w:left="881" w:hanging="428"/>
      </w:pPr>
      <w:rPr>
        <w:rFonts w:hint="default" w:ascii="Palatino Linotype" w:hAnsi="Palatino Linotype" w:eastAsia="Palatino Linotype" w:cs="Palatino Linotype"/>
        <w:b w:val="0"/>
        <w:bCs w:val="0"/>
        <w:i w:val="0"/>
        <w:iCs w:val="0"/>
        <w:spacing w:val="0"/>
        <w:w w:val="100"/>
        <w:sz w:val="24"/>
        <w:szCs w:val="24"/>
        <w:lang w:val="it-IT" w:eastAsia="en-US" w:bidi="ar-SA"/>
      </w:rPr>
    </w:lvl>
    <w:lvl w:ilvl="1">
      <w:start w:val="0"/>
      <w:numFmt w:val="bullet"/>
      <w:lvlText w:val="•"/>
      <w:lvlJc w:val="left"/>
      <w:pPr>
        <w:ind w:left="1826" w:hanging="428"/>
      </w:pPr>
      <w:rPr>
        <w:rFonts w:hint="default"/>
        <w:lang w:val="it-IT" w:eastAsia="en-US" w:bidi="ar-SA"/>
      </w:rPr>
    </w:lvl>
    <w:lvl w:ilvl="2">
      <w:start w:val="0"/>
      <w:numFmt w:val="bullet"/>
      <w:lvlText w:val="•"/>
      <w:lvlJc w:val="left"/>
      <w:pPr>
        <w:ind w:left="2773" w:hanging="428"/>
      </w:pPr>
      <w:rPr>
        <w:rFonts w:hint="default"/>
        <w:lang w:val="it-IT" w:eastAsia="en-US" w:bidi="ar-SA"/>
      </w:rPr>
    </w:lvl>
    <w:lvl w:ilvl="3">
      <w:start w:val="0"/>
      <w:numFmt w:val="bullet"/>
      <w:lvlText w:val="•"/>
      <w:lvlJc w:val="left"/>
      <w:pPr>
        <w:ind w:left="3720" w:hanging="428"/>
      </w:pPr>
      <w:rPr>
        <w:rFonts w:hint="default"/>
        <w:lang w:val="it-IT" w:eastAsia="en-US" w:bidi="ar-SA"/>
      </w:rPr>
    </w:lvl>
    <w:lvl w:ilvl="4">
      <w:start w:val="0"/>
      <w:numFmt w:val="bullet"/>
      <w:lvlText w:val="•"/>
      <w:lvlJc w:val="left"/>
      <w:pPr>
        <w:ind w:left="4667" w:hanging="428"/>
      </w:pPr>
      <w:rPr>
        <w:rFonts w:hint="default"/>
        <w:lang w:val="it-IT" w:eastAsia="en-US" w:bidi="ar-SA"/>
      </w:rPr>
    </w:lvl>
    <w:lvl w:ilvl="5">
      <w:start w:val="0"/>
      <w:numFmt w:val="bullet"/>
      <w:lvlText w:val="•"/>
      <w:lvlJc w:val="left"/>
      <w:pPr>
        <w:ind w:left="5614" w:hanging="428"/>
      </w:pPr>
      <w:rPr>
        <w:rFonts w:hint="default"/>
        <w:lang w:val="it-IT" w:eastAsia="en-US" w:bidi="ar-SA"/>
      </w:rPr>
    </w:lvl>
    <w:lvl w:ilvl="6">
      <w:start w:val="0"/>
      <w:numFmt w:val="bullet"/>
      <w:lvlText w:val="•"/>
      <w:lvlJc w:val="left"/>
      <w:pPr>
        <w:ind w:left="6561" w:hanging="428"/>
      </w:pPr>
      <w:rPr>
        <w:rFonts w:hint="default"/>
        <w:lang w:val="it-IT" w:eastAsia="en-US" w:bidi="ar-SA"/>
      </w:rPr>
    </w:lvl>
    <w:lvl w:ilvl="7">
      <w:start w:val="0"/>
      <w:numFmt w:val="bullet"/>
      <w:lvlText w:val="•"/>
      <w:lvlJc w:val="left"/>
      <w:pPr>
        <w:ind w:left="7507" w:hanging="428"/>
      </w:pPr>
      <w:rPr>
        <w:rFonts w:hint="default"/>
        <w:lang w:val="it-IT" w:eastAsia="en-US" w:bidi="ar-SA"/>
      </w:rPr>
    </w:lvl>
    <w:lvl w:ilvl="8">
      <w:start w:val="0"/>
      <w:numFmt w:val="bullet"/>
      <w:lvlText w:val="•"/>
      <w:lvlJc w:val="left"/>
      <w:pPr>
        <w:ind w:left="8454" w:hanging="428"/>
      </w:pPr>
      <w:rPr>
        <w:rFonts w:hint="default"/>
        <w:lang w:val="it-IT" w:eastAsia="en-US" w:bidi="ar-SA"/>
      </w:rPr>
    </w:lvl>
  </w:abstractNum>
  <w:abstractNum w:abstractNumId="0">
    <w:multiLevelType w:val="hybridMultilevel"/>
    <w:lvl w:ilvl="0">
      <w:start w:val="1"/>
      <w:numFmt w:val="decimal"/>
      <w:lvlText w:val="%1."/>
      <w:lvlJc w:val="left"/>
      <w:pPr>
        <w:ind w:left="704" w:hanging="251"/>
        <w:jc w:val="left"/>
      </w:pPr>
      <w:rPr>
        <w:rFonts w:hint="default" w:ascii="Calibri" w:hAnsi="Calibri" w:eastAsia="Calibri" w:cs="Calibri"/>
        <w:b/>
        <w:bCs/>
        <w:i w:val="0"/>
        <w:iCs w:val="0"/>
        <w:spacing w:val="0"/>
        <w:w w:val="100"/>
        <w:sz w:val="24"/>
        <w:szCs w:val="24"/>
        <w:lang w:val="it-IT" w:eastAsia="en-US" w:bidi="ar-SA"/>
      </w:rPr>
    </w:lvl>
    <w:lvl w:ilvl="1">
      <w:start w:val="0"/>
      <w:numFmt w:val="bullet"/>
      <w:lvlText w:val=""/>
      <w:lvlJc w:val="left"/>
      <w:pPr>
        <w:ind w:left="737" w:hanging="284"/>
      </w:pPr>
      <w:rPr>
        <w:rFonts w:hint="default" w:ascii="Symbol" w:hAnsi="Symbol" w:eastAsia="Symbol" w:cs="Symbol"/>
        <w:b w:val="0"/>
        <w:bCs w:val="0"/>
        <w:i w:val="0"/>
        <w:iCs w:val="0"/>
        <w:spacing w:val="0"/>
        <w:w w:val="100"/>
        <w:sz w:val="24"/>
        <w:szCs w:val="24"/>
        <w:lang w:val="it-IT" w:eastAsia="en-US" w:bidi="ar-SA"/>
      </w:rPr>
    </w:lvl>
    <w:lvl w:ilvl="2">
      <w:start w:val="0"/>
      <w:numFmt w:val="bullet"/>
      <w:lvlText w:val="•"/>
      <w:lvlJc w:val="left"/>
      <w:pPr>
        <w:ind w:left="1180" w:hanging="284"/>
      </w:pPr>
      <w:rPr>
        <w:rFonts w:hint="default"/>
        <w:lang w:val="it-IT" w:eastAsia="en-US" w:bidi="ar-SA"/>
      </w:rPr>
    </w:lvl>
    <w:lvl w:ilvl="3">
      <w:start w:val="0"/>
      <w:numFmt w:val="bullet"/>
      <w:lvlText w:val="•"/>
      <w:lvlJc w:val="left"/>
      <w:pPr>
        <w:ind w:left="2326" w:hanging="284"/>
      </w:pPr>
      <w:rPr>
        <w:rFonts w:hint="default"/>
        <w:lang w:val="it-IT" w:eastAsia="en-US" w:bidi="ar-SA"/>
      </w:rPr>
    </w:lvl>
    <w:lvl w:ilvl="4">
      <w:start w:val="0"/>
      <w:numFmt w:val="bullet"/>
      <w:lvlText w:val="•"/>
      <w:lvlJc w:val="left"/>
      <w:pPr>
        <w:ind w:left="3472" w:hanging="284"/>
      </w:pPr>
      <w:rPr>
        <w:rFonts w:hint="default"/>
        <w:lang w:val="it-IT" w:eastAsia="en-US" w:bidi="ar-SA"/>
      </w:rPr>
    </w:lvl>
    <w:lvl w:ilvl="5">
      <w:start w:val="0"/>
      <w:numFmt w:val="bullet"/>
      <w:lvlText w:val="•"/>
      <w:lvlJc w:val="left"/>
      <w:pPr>
        <w:ind w:left="4618" w:hanging="284"/>
      </w:pPr>
      <w:rPr>
        <w:rFonts w:hint="default"/>
        <w:lang w:val="it-IT" w:eastAsia="en-US" w:bidi="ar-SA"/>
      </w:rPr>
    </w:lvl>
    <w:lvl w:ilvl="6">
      <w:start w:val="0"/>
      <w:numFmt w:val="bullet"/>
      <w:lvlText w:val="•"/>
      <w:lvlJc w:val="left"/>
      <w:pPr>
        <w:ind w:left="5764" w:hanging="284"/>
      </w:pPr>
      <w:rPr>
        <w:rFonts w:hint="default"/>
        <w:lang w:val="it-IT" w:eastAsia="en-US" w:bidi="ar-SA"/>
      </w:rPr>
    </w:lvl>
    <w:lvl w:ilvl="7">
      <w:start w:val="0"/>
      <w:numFmt w:val="bullet"/>
      <w:lvlText w:val="•"/>
      <w:lvlJc w:val="left"/>
      <w:pPr>
        <w:ind w:left="6910" w:hanging="284"/>
      </w:pPr>
      <w:rPr>
        <w:rFonts w:hint="default"/>
        <w:lang w:val="it-IT" w:eastAsia="en-US" w:bidi="ar-SA"/>
      </w:rPr>
    </w:lvl>
    <w:lvl w:ilvl="8">
      <w:start w:val="0"/>
      <w:numFmt w:val="bullet"/>
      <w:lvlText w:val="•"/>
      <w:lvlJc w:val="left"/>
      <w:pPr>
        <w:ind w:left="8056" w:hanging="284"/>
      </w:pPr>
      <w:rPr>
        <w:rFonts w:hint="default"/>
        <w:lang w:val="it-I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en-US" w:bidi="ar-SA"/>
    </w:rPr>
  </w:style>
  <w:style w:styleId="BodyText" w:type="paragraph">
    <w:name w:val="Body Text"/>
    <w:basedOn w:val="Normal"/>
    <w:uiPriority w:val="1"/>
    <w:qFormat/>
    <w:pPr>
      <w:ind w:left="454"/>
    </w:pPr>
    <w:rPr>
      <w:rFonts w:ascii="Calibri" w:hAnsi="Calibri" w:eastAsia="Calibri" w:cs="Calibri"/>
      <w:sz w:val="24"/>
      <w:szCs w:val="24"/>
      <w:lang w:val="it-IT" w:eastAsia="en-US" w:bidi="ar-SA"/>
    </w:rPr>
  </w:style>
  <w:style w:styleId="Heading1" w:type="paragraph">
    <w:name w:val="Heading 1"/>
    <w:basedOn w:val="Normal"/>
    <w:uiPriority w:val="1"/>
    <w:qFormat/>
    <w:pPr>
      <w:ind w:left="694" w:hanging="240"/>
      <w:jc w:val="both"/>
      <w:outlineLvl w:val="1"/>
    </w:pPr>
    <w:rPr>
      <w:rFonts w:ascii="Calibri" w:hAnsi="Calibri" w:eastAsia="Calibri" w:cs="Calibri"/>
      <w:b/>
      <w:bCs/>
      <w:sz w:val="24"/>
      <w:szCs w:val="24"/>
      <w:lang w:val="it-IT" w:eastAsia="en-US" w:bidi="ar-SA"/>
    </w:rPr>
  </w:style>
  <w:style w:styleId="Title" w:type="paragraph">
    <w:name w:val="Title"/>
    <w:basedOn w:val="Normal"/>
    <w:uiPriority w:val="1"/>
    <w:qFormat/>
    <w:pPr>
      <w:spacing w:before="33"/>
      <w:ind w:left="454"/>
    </w:pPr>
    <w:rPr>
      <w:rFonts w:ascii="Calibri" w:hAnsi="Calibri" w:eastAsia="Calibri" w:cs="Calibri"/>
      <w:sz w:val="28"/>
      <w:szCs w:val="28"/>
      <w:lang w:val="it-IT" w:eastAsia="en-US" w:bidi="ar-SA"/>
    </w:rPr>
  </w:style>
  <w:style w:styleId="ListParagraph" w:type="paragraph">
    <w:name w:val="List Paragraph"/>
    <w:basedOn w:val="Normal"/>
    <w:uiPriority w:val="1"/>
    <w:qFormat/>
    <w:pPr>
      <w:ind w:left="454" w:hanging="360"/>
      <w:jc w:val="both"/>
    </w:pPr>
    <w:rPr>
      <w:rFonts w:ascii="Calibri" w:hAnsi="Calibri" w:eastAsia="Calibri" w:cs="Calibri"/>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Maiuri Ovidio</dc:creator>
  <dc:title>Microsoft Word - 000_Allegato Presa di servizio Vademecum</dc:title>
  <dcterms:created xsi:type="dcterms:W3CDTF">2026-08-11T09:03:16Z</dcterms:created>
  <dcterms:modified xsi:type="dcterms:W3CDTF">2026-08-11T09:03:16Z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2024-08-30T00:00:00Z</vt:filetime>
  </property>
  <property fmtid="{D5CDD505-2E9C-101B-9397-08002B2CF9AE}" pid="4" name="LastSaved">
    <vt:filetime>2026-08-11T00:00:00Z</vt:filetime>
  </property>
  <property fmtid="{D5CDD505-2E9C-101B-9397-08002B2CF9AE}" pid="5" name="Producer">
    <vt:lpwstr>Microsoft: Print To PDF</vt:lpwstr>
  </property>
</Properties>
</file>